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F3399" w14:textId="77777777" w:rsidR="00E43203" w:rsidRPr="00ED4D4B" w:rsidRDefault="00CE7BBB" w:rsidP="00463A81">
      <w:pPr>
        <w:spacing w:line="276" w:lineRule="auto"/>
        <w:ind w:left="3969"/>
        <w:jc w:val="both"/>
        <w:rPr>
          <w:sz w:val="24"/>
          <w:szCs w:val="24"/>
          <w:rtl/>
        </w:rPr>
      </w:pPr>
      <w:r w:rsidRPr="00ED4D4B">
        <w:rPr>
          <w:rFonts w:ascii="FrankRuehl" w:hAnsi="FrankRuehl" w:hint="cs"/>
          <w:sz w:val="24"/>
          <w:szCs w:val="24"/>
          <w:rtl/>
        </w:rPr>
        <w:t>"</w:t>
      </w:r>
      <w:r w:rsidRPr="00ED4D4B">
        <w:rPr>
          <w:rFonts w:ascii="FrankRuehl" w:hAnsi="FrankRuehl"/>
          <w:sz w:val="24"/>
          <w:szCs w:val="24"/>
          <w:rtl/>
        </w:rPr>
        <w:t>בנסחו את צוואתו רשאי המצווה להורות על אופן חלוקת רכושו לאחר מותו כאוות נפשו. כל עוד הצוואה אינה נגועה באי-חוקיות או סותרת את תקנת הציבור</w:t>
      </w:r>
      <w:r w:rsidR="00463A81" w:rsidRPr="00ED4D4B">
        <w:rPr>
          <w:rFonts w:ascii="Miriam" w:hAnsi="Miriam" w:hint="cs"/>
          <w:sz w:val="24"/>
          <w:szCs w:val="24"/>
          <w:rtl/>
        </w:rPr>
        <w:t xml:space="preserve">, </w:t>
      </w:r>
      <w:r w:rsidRPr="00ED4D4B">
        <w:rPr>
          <w:rFonts w:ascii="Miriam" w:hAnsi="Miriam"/>
          <w:sz w:val="24"/>
          <w:szCs w:val="24"/>
          <w:rtl/>
        </w:rPr>
        <w:t>יש ליתן לרצונו של המצווה תוקף גם אם הוראות הצוואה אינן נראות לבית המשפט</w:t>
      </w:r>
      <w:r w:rsidRPr="00ED4D4B">
        <w:rPr>
          <w:rFonts w:hint="cs"/>
          <w:sz w:val="24"/>
          <w:szCs w:val="24"/>
          <w:rtl/>
        </w:rPr>
        <w:t xml:space="preserve">" </w:t>
      </w:r>
    </w:p>
    <w:p w14:paraId="4B8B4E59" w14:textId="77777777" w:rsidR="0027578A" w:rsidRPr="00ED4D4B" w:rsidRDefault="00CE7BBB" w:rsidP="00824AD8">
      <w:pPr>
        <w:spacing w:line="276" w:lineRule="auto"/>
        <w:ind w:left="3969"/>
        <w:jc w:val="right"/>
        <w:rPr>
          <w:b/>
          <w:bCs/>
          <w:sz w:val="24"/>
          <w:szCs w:val="24"/>
          <w:u w:val="single"/>
          <w:rtl/>
        </w:rPr>
      </w:pPr>
      <w:r w:rsidRPr="00ED4D4B">
        <w:rPr>
          <w:rFonts w:hint="cs"/>
          <w:sz w:val="24"/>
          <w:szCs w:val="24"/>
          <w:rtl/>
        </w:rPr>
        <w:t>(</w:t>
      </w:r>
      <w:r w:rsidR="00E714DF" w:rsidRPr="00ED4D4B">
        <w:rPr>
          <w:rFonts w:hint="cs"/>
          <w:sz w:val="24"/>
          <w:szCs w:val="24"/>
          <w:rtl/>
        </w:rPr>
        <w:t xml:space="preserve">כבוד </w:t>
      </w:r>
      <w:r w:rsidRPr="00ED4D4B">
        <w:rPr>
          <w:rFonts w:hint="cs"/>
          <w:sz w:val="24"/>
          <w:szCs w:val="24"/>
          <w:rtl/>
        </w:rPr>
        <w:t>השופט יורם דנציגר)</w:t>
      </w:r>
      <w:r>
        <w:rPr>
          <w:rStyle w:val="a3"/>
          <w:b/>
          <w:bCs/>
          <w:sz w:val="24"/>
          <w:szCs w:val="24"/>
          <w:rtl/>
        </w:rPr>
        <w:footnoteReference w:id="1"/>
      </w:r>
    </w:p>
    <w:p w14:paraId="54E1D381" w14:textId="77777777" w:rsidR="00E43203" w:rsidRDefault="00E43203" w:rsidP="00D5409B">
      <w:pPr>
        <w:spacing w:line="360" w:lineRule="auto"/>
        <w:ind w:right="851"/>
        <w:jc w:val="both"/>
        <w:rPr>
          <w:rFonts w:asciiTheme="minorHAnsi" w:hAnsiTheme="minorHAnsi"/>
          <w:b/>
          <w:bCs/>
          <w:color w:val="00B0F0"/>
          <w:sz w:val="24"/>
          <w:szCs w:val="24"/>
          <w:u w:val="single"/>
          <w:rtl/>
        </w:rPr>
      </w:pPr>
    </w:p>
    <w:p w14:paraId="767BF17F" w14:textId="77777777" w:rsidR="00D5409B" w:rsidRPr="00ED4D4B" w:rsidRDefault="00D5409B" w:rsidP="00D5409B">
      <w:pPr>
        <w:spacing w:line="360" w:lineRule="auto"/>
        <w:ind w:right="851"/>
        <w:jc w:val="both"/>
        <w:rPr>
          <w:rFonts w:asciiTheme="minorHAnsi" w:hAnsiTheme="minorHAnsi"/>
          <w:b/>
          <w:bCs/>
          <w:color w:val="00B0F0"/>
          <w:sz w:val="24"/>
          <w:szCs w:val="24"/>
          <w:u w:val="single"/>
        </w:rPr>
      </w:pPr>
    </w:p>
    <w:p w14:paraId="4CA42AE8" w14:textId="6D59360C" w:rsidR="00121478" w:rsidRPr="00121478" w:rsidRDefault="00CE7BBB" w:rsidP="00121478">
      <w:pPr>
        <w:spacing w:line="360" w:lineRule="auto"/>
        <w:jc w:val="center"/>
        <w:rPr>
          <w:b/>
          <w:bCs/>
          <w:sz w:val="32"/>
          <w:szCs w:val="32"/>
          <w:rtl/>
        </w:rPr>
      </w:pPr>
      <w:r w:rsidRPr="00ED4D4B">
        <w:rPr>
          <w:rFonts w:hint="cs"/>
          <w:b/>
          <w:bCs/>
          <w:sz w:val="32"/>
          <w:szCs w:val="32"/>
          <w:rtl/>
        </w:rPr>
        <w:t>תניות סילוקין</w:t>
      </w:r>
      <w:r w:rsidR="00E43203" w:rsidRPr="00ED4D4B">
        <w:rPr>
          <w:rFonts w:hint="cs"/>
          <w:b/>
          <w:bCs/>
          <w:sz w:val="32"/>
          <w:szCs w:val="32"/>
          <w:rtl/>
        </w:rPr>
        <w:t xml:space="preserve"> בצוואה</w:t>
      </w:r>
    </w:p>
    <w:p w14:paraId="4EC9AA2C" w14:textId="29923E8A" w:rsidR="00121478" w:rsidRDefault="00CE7BBB" w:rsidP="00121478">
      <w:pPr>
        <w:spacing w:line="360" w:lineRule="auto"/>
        <w:jc w:val="center"/>
        <w:rPr>
          <w:color w:val="00B0F0"/>
          <w:sz w:val="28"/>
          <w:szCs w:val="28"/>
          <w:rtl/>
        </w:rPr>
      </w:pPr>
      <w:r w:rsidRPr="00ED4D4B">
        <w:rPr>
          <w:rFonts w:hint="cs"/>
          <w:sz w:val="28"/>
          <w:szCs w:val="28"/>
          <w:rtl/>
        </w:rPr>
        <w:t xml:space="preserve">יורם רבין ואלון </w:t>
      </w:r>
      <w:proofErr w:type="spellStart"/>
      <w:r w:rsidRPr="00ED4D4B">
        <w:rPr>
          <w:rFonts w:hint="cs"/>
          <w:sz w:val="28"/>
          <w:szCs w:val="28"/>
          <w:rtl/>
        </w:rPr>
        <w:t>רודס</w:t>
      </w:r>
      <w:proofErr w:type="spellEnd"/>
      <w:r w:rsidR="00527BB2" w:rsidRPr="00ED4D4B">
        <w:rPr>
          <w:rFonts w:hint="cs"/>
          <w:sz w:val="28"/>
          <w:szCs w:val="28"/>
          <w:rtl/>
        </w:rPr>
        <w:t>*</w:t>
      </w:r>
    </w:p>
    <w:p w14:paraId="2847BA71" w14:textId="77777777" w:rsidR="005048AF" w:rsidRDefault="005048AF" w:rsidP="00527BB2">
      <w:pPr>
        <w:spacing w:line="360" w:lineRule="auto"/>
        <w:jc w:val="center"/>
        <w:rPr>
          <w:color w:val="00B0F0"/>
          <w:sz w:val="28"/>
          <w:szCs w:val="28"/>
          <w:rtl/>
        </w:rPr>
      </w:pPr>
    </w:p>
    <w:p w14:paraId="62C84323" w14:textId="2E9BC07A" w:rsidR="005048AF" w:rsidRDefault="00CE7BBB" w:rsidP="005048AF">
      <w:pPr>
        <w:spacing w:line="360" w:lineRule="auto"/>
        <w:jc w:val="both"/>
        <w:rPr>
          <w:color w:val="00B0F0"/>
          <w:sz w:val="24"/>
          <w:szCs w:val="24"/>
          <w:rtl/>
        </w:rPr>
      </w:pPr>
      <w:r w:rsidRPr="00287918">
        <w:rPr>
          <w:rFonts w:ascii="David" w:hAnsi="David"/>
          <w:sz w:val="24"/>
          <w:szCs w:val="24"/>
          <w:rtl/>
        </w:rPr>
        <w:t>הכלל הידוע לפיו "מצווה לקיים דבר המת" ניצב בבסיס דיני הצוואות. השאלה אם יש לאפשר לאדם להכתיב, ללא כל הגבלה, באיזה אופן יחולק רכושו לאחר מותו העסיקה הוגים ושופטים מאז ומקדם. חרף המשקל שראוי להעניק לרצונו של המצווה</w:t>
      </w:r>
      <w:r w:rsidR="008100EC">
        <w:rPr>
          <w:rFonts w:ascii="David" w:hAnsi="David" w:hint="cs"/>
          <w:sz w:val="24"/>
          <w:szCs w:val="24"/>
          <w:rtl/>
        </w:rPr>
        <w:t>,</w:t>
      </w:r>
      <w:r w:rsidRPr="00287918">
        <w:rPr>
          <w:rFonts w:ascii="David" w:hAnsi="David"/>
          <w:sz w:val="24"/>
          <w:szCs w:val="24"/>
          <w:rtl/>
        </w:rPr>
        <w:t xml:space="preserve"> בשל זכותו לחירות ולאוטונומיה, ניתן להצביע על טעמים המצדיקים הטלת מגבלות על חירות זו</w:t>
      </w:r>
      <w:r w:rsidR="00DA6260">
        <w:rPr>
          <w:rFonts w:ascii="David" w:hAnsi="David" w:hint="cs"/>
          <w:sz w:val="24"/>
          <w:szCs w:val="24"/>
          <w:rtl/>
        </w:rPr>
        <w:t>,</w:t>
      </w:r>
      <w:r w:rsidRPr="00287918">
        <w:rPr>
          <w:rFonts w:ascii="David" w:hAnsi="David"/>
          <w:sz w:val="24"/>
          <w:szCs w:val="24"/>
          <w:rtl/>
        </w:rPr>
        <w:t xml:space="preserve"> בשל פגיעה בעקרונות אוניברסליים אחרים של צדק ומוסר. מקרה פרטי של השאלה הרחבה בדבר זכותו של המצווה לנסח את צוואתו ללא כל מגבלה היא השאלה אם ראוי ל</w:t>
      </w:r>
      <w:r w:rsidRPr="00287918">
        <w:rPr>
          <w:rFonts w:ascii="David" w:hAnsi="David" w:hint="cs"/>
          <w:sz w:val="24"/>
          <w:szCs w:val="24"/>
          <w:rtl/>
        </w:rPr>
        <w:t xml:space="preserve">תת תוקף לתנייה בצוואה אשר מדירה </w:t>
      </w:r>
      <w:r w:rsidRPr="00287918">
        <w:rPr>
          <w:rFonts w:ascii="David" w:hAnsi="David"/>
          <w:sz w:val="24"/>
          <w:szCs w:val="24"/>
          <w:rtl/>
        </w:rPr>
        <w:t xml:space="preserve">יורש </w:t>
      </w:r>
      <w:r w:rsidRPr="00287918">
        <w:rPr>
          <w:rFonts w:ascii="David" w:hAnsi="David" w:hint="cs"/>
          <w:sz w:val="24"/>
          <w:szCs w:val="24"/>
          <w:rtl/>
        </w:rPr>
        <w:t>הפונה</w:t>
      </w:r>
      <w:r w:rsidRPr="00287918">
        <w:rPr>
          <w:rFonts w:ascii="David" w:hAnsi="David"/>
          <w:sz w:val="24"/>
          <w:szCs w:val="24"/>
          <w:rtl/>
        </w:rPr>
        <w:t xml:space="preserve"> לערכאות כנגד הצוואה</w:t>
      </w:r>
      <w:r w:rsidRPr="00287918">
        <w:rPr>
          <w:rFonts w:ascii="David" w:hAnsi="David" w:hint="cs"/>
          <w:sz w:val="24"/>
          <w:szCs w:val="24"/>
          <w:rtl/>
        </w:rPr>
        <w:t xml:space="preserve"> (תניית סילוקין)</w:t>
      </w:r>
      <w:r w:rsidRPr="00287918">
        <w:rPr>
          <w:rFonts w:ascii="David" w:hAnsi="David"/>
          <w:sz w:val="24"/>
          <w:szCs w:val="24"/>
          <w:rtl/>
        </w:rPr>
        <w:t>. שאלה זו</w:t>
      </w:r>
      <w:r w:rsidR="00DA6260">
        <w:rPr>
          <w:rFonts w:ascii="David" w:hAnsi="David" w:hint="cs"/>
          <w:sz w:val="24"/>
          <w:szCs w:val="24"/>
          <w:rtl/>
        </w:rPr>
        <w:t>,</w:t>
      </w:r>
      <w:r w:rsidRPr="00287918">
        <w:rPr>
          <w:rFonts w:ascii="David" w:hAnsi="David"/>
          <w:sz w:val="24"/>
          <w:szCs w:val="24"/>
          <w:rtl/>
        </w:rPr>
        <w:t xml:space="preserve"> </w:t>
      </w:r>
      <w:r w:rsidRPr="00287918">
        <w:rPr>
          <w:rFonts w:ascii="David" w:hAnsi="David" w:hint="cs"/>
          <w:sz w:val="24"/>
          <w:szCs w:val="24"/>
          <w:rtl/>
        </w:rPr>
        <w:t>ש</w:t>
      </w:r>
      <w:r w:rsidRPr="00287918">
        <w:rPr>
          <w:rFonts w:ascii="David" w:hAnsi="David"/>
          <w:sz w:val="24"/>
          <w:szCs w:val="24"/>
          <w:rtl/>
        </w:rPr>
        <w:t>היא בעלת היבטים עיוניים ומעשיים</w:t>
      </w:r>
      <w:r w:rsidR="00DA6260">
        <w:rPr>
          <w:rFonts w:ascii="David" w:hAnsi="David" w:hint="cs"/>
          <w:sz w:val="24"/>
          <w:szCs w:val="24"/>
          <w:rtl/>
        </w:rPr>
        <w:t>,</w:t>
      </w:r>
      <w:r w:rsidRPr="00287918">
        <w:rPr>
          <w:rFonts w:ascii="David" w:hAnsi="David" w:hint="cs"/>
          <w:sz w:val="24"/>
          <w:szCs w:val="24"/>
          <w:rtl/>
        </w:rPr>
        <w:t xml:space="preserve"> עומדת בבסיסה של רשימה זו.</w:t>
      </w:r>
      <w:r w:rsidRPr="00287918">
        <w:rPr>
          <w:rFonts w:ascii="David" w:hAnsi="David"/>
          <w:sz w:val="24"/>
          <w:szCs w:val="24"/>
          <w:rtl/>
        </w:rPr>
        <w:t xml:space="preserve"> באמצעות סקירת הדין המשווה, </w:t>
      </w:r>
      <w:r w:rsidRPr="00287918">
        <w:rPr>
          <w:rFonts w:ascii="David" w:hAnsi="David" w:hint="cs"/>
          <w:sz w:val="24"/>
          <w:szCs w:val="24"/>
          <w:rtl/>
        </w:rPr>
        <w:t>מוצגים ארבעה מודלים שונים לאיזון בין זכותו של המצווה לקבוע תניית סילוקין לבין זכותו של נהנה לפנות לערכאות כנגד הצוואה.</w:t>
      </w:r>
      <w:r w:rsidRPr="00287918">
        <w:rPr>
          <w:rFonts w:ascii="David" w:hAnsi="David"/>
          <w:sz w:val="24"/>
          <w:szCs w:val="24"/>
          <w:rtl/>
        </w:rPr>
        <w:t xml:space="preserve"> </w:t>
      </w:r>
      <w:r w:rsidRPr="00287918">
        <w:rPr>
          <w:rFonts w:ascii="David" w:hAnsi="David" w:hint="cs"/>
          <w:sz w:val="24"/>
          <w:szCs w:val="24"/>
          <w:rtl/>
        </w:rPr>
        <w:t xml:space="preserve">בהמשך המאמר נערך ניתוח של הפסיקה הישראלית בסוגיה זו לאור המודלים העיוניים ומוצעת </w:t>
      </w:r>
      <w:r w:rsidRPr="00287918">
        <w:rPr>
          <w:rFonts w:ascii="David" w:hAnsi="David"/>
          <w:sz w:val="24"/>
          <w:szCs w:val="24"/>
          <w:rtl/>
        </w:rPr>
        <w:t xml:space="preserve">דרך חדשה לסווג את תניות הסילוקין כתניות </w:t>
      </w:r>
      <w:r w:rsidRPr="00287918">
        <w:rPr>
          <w:rFonts w:ascii="David" w:hAnsi="David" w:hint="cs"/>
          <w:sz w:val="24"/>
          <w:szCs w:val="24"/>
          <w:rtl/>
        </w:rPr>
        <w:t xml:space="preserve">סילוקין </w:t>
      </w:r>
      <w:r w:rsidRPr="00287918">
        <w:rPr>
          <w:rFonts w:ascii="David" w:hAnsi="David"/>
          <w:sz w:val="24"/>
          <w:szCs w:val="24"/>
          <w:rtl/>
        </w:rPr>
        <w:t>"צרות" או "רחבות".</w:t>
      </w:r>
    </w:p>
    <w:p w14:paraId="37C4777F" w14:textId="77777777" w:rsidR="005946F2" w:rsidRDefault="005946F2" w:rsidP="005048AF">
      <w:pPr>
        <w:spacing w:line="360" w:lineRule="auto"/>
        <w:jc w:val="both"/>
        <w:rPr>
          <w:color w:val="00B0F0"/>
          <w:sz w:val="24"/>
          <w:szCs w:val="24"/>
          <w:rtl/>
        </w:rPr>
      </w:pPr>
    </w:p>
    <w:p w14:paraId="38BDFFEB" w14:textId="136704B6" w:rsidR="005048AF" w:rsidRDefault="00121478" w:rsidP="001C3222">
      <w:pPr>
        <w:spacing w:line="360" w:lineRule="auto"/>
        <w:jc w:val="both"/>
        <w:rPr>
          <w:rFonts w:ascii="David" w:hAnsi="David"/>
          <w:rtl/>
        </w:rPr>
      </w:pPr>
      <w:r w:rsidRPr="00121478">
        <w:rPr>
          <w:rFonts w:ascii="David" w:hAnsi="David"/>
          <w:rtl/>
        </w:rPr>
        <w:t xml:space="preserve">א. </w:t>
      </w:r>
      <w:r w:rsidR="00CE7BBB" w:rsidRPr="00121478">
        <w:rPr>
          <w:rFonts w:ascii="David" w:hAnsi="David"/>
          <w:rtl/>
        </w:rPr>
        <w:t>מבוא</w:t>
      </w:r>
      <w:r w:rsidRPr="00121478">
        <w:rPr>
          <w:rFonts w:ascii="David" w:hAnsi="David"/>
          <w:rtl/>
        </w:rPr>
        <w:t xml:space="preserve">. ב. </w:t>
      </w:r>
      <w:r w:rsidR="00CE7BBB" w:rsidRPr="00121478">
        <w:rPr>
          <w:rFonts w:ascii="David" w:hAnsi="David"/>
          <w:rtl/>
        </w:rPr>
        <w:t>תניית סילוקין:</w:t>
      </w:r>
      <w:r w:rsidR="007528AB" w:rsidRPr="00121478">
        <w:rPr>
          <w:rFonts w:ascii="David" w:hAnsi="David"/>
          <w:rtl/>
        </w:rPr>
        <w:t xml:space="preserve"> הגנה על רצונו של המצווה מול </w:t>
      </w:r>
      <w:r w:rsidR="00CE7BBB" w:rsidRPr="00121478">
        <w:rPr>
          <w:rFonts w:ascii="David" w:hAnsi="David"/>
          <w:rtl/>
        </w:rPr>
        <w:t>זכות הגישה לערכאות</w:t>
      </w:r>
      <w:r w:rsidR="007528AB" w:rsidRPr="00121478">
        <w:rPr>
          <w:rFonts w:ascii="David" w:hAnsi="David"/>
          <w:rtl/>
        </w:rPr>
        <w:t xml:space="preserve"> של הנהנה</w:t>
      </w:r>
      <w:r w:rsidRPr="00121478">
        <w:rPr>
          <w:rFonts w:ascii="David" w:hAnsi="David"/>
          <w:rtl/>
        </w:rPr>
        <w:t xml:space="preserve">. </w:t>
      </w:r>
      <w:r>
        <w:rPr>
          <w:rFonts w:ascii="David" w:hAnsi="David" w:hint="cs"/>
          <w:rtl/>
        </w:rPr>
        <w:t>ג</w:t>
      </w:r>
      <w:r w:rsidRPr="00121478">
        <w:rPr>
          <w:rFonts w:ascii="David" w:hAnsi="David"/>
          <w:rtl/>
        </w:rPr>
        <w:t xml:space="preserve">. </w:t>
      </w:r>
      <w:r w:rsidR="00CE7BBB" w:rsidRPr="00121478">
        <w:rPr>
          <w:rFonts w:ascii="David" w:hAnsi="David"/>
          <w:rtl/>
        </w:rPr>
        <w:t>תוקפן של תניות סילוקין במשפט המשווה</w:t>
      </w:r>
      <w:r>
        <w:rPr>
          <w:rFonts w:ascii="David" w:hAnsi="David" w:hint="cs"/>
          <w:rtl/>
        </w:rPr>
        <w:t>;</w:t>
      </w:r>
      <w:r w:rsidRPr="00121478">
        <w:rPr>
          <w:rFonts w:ascii="David" w:hAnsi="David"/>
          <w:rtl/>
        </w:rPr>
        <w:t xml:space="preserve"> 1. </w:t>
      </w:r>
      <w:r w:rsidR="00CE7BBB" w:rsidRPr="00121478">
        <w:rPr>
          <w:rFonts w:ascii="David" w:hAnsi="David"/>
          <w:rtl/>
        </w:rPr>
        <w:t>ארצות הברית</w:t>
      </w:r>
      <w:r>
        <w:rPr>
          <w:rFonts w:ascii="David" w:hAnsi="David" w:hint="cs"/>
          <w:rtl/>
        </w:rPr>
        <w:t>;</w:t>
      </w:r>
      <w:r w:rsidRPr="00121478">
        <w:rPr>
          <w:rFonts w:ascii="David" w:hAnsi="David"/>
          <w:rtl/>
        </w:rPr>
        <w:t xml:space="preserve"> 2. </w:t>
      </w:r>
      <w:r w:rsidR="00CE7BBB" w:rsidRPr="00121478">
        <w:rPr>
          <w:rFonts w:ascii="David" w:hAnsi="David"/>
          <w:rtl/>
        </w:rPr>
        <w:t>קנדה</w:t>
      </w:r>
      <w:r>
        <w:rPr>
          <w:rFonts w:ascii="David" w:hAnsi="David" w:hint="cs"/>
          <w:rtl/>
        </w:rPr>
        <w:t>;</w:t>
      </w:r>
      <w:r w:rsidRPr="00121478">
        <w:rPr>
          <w:rFonts w:ascii="David" w:hAnsi="David"/>
          <w:rtl/>
        </w:rPr>
        <w:t xml:space="preserve"> 3. </w:t>
      </w:r>
      <w:r w:rsidR="00CE7BBB" w:rsidRPr="00121478">
        <w:rPr>
          <w:rFonts w:ascii="David" w:hAnsi="David"/>
          <w:rtl/>
        </w:rPr>
        <w:t>סיכום המשפט המשווה</w:t>
      </w:r>
      <w:r>
        <w:rPr>
          <w:rFonts w:ascii="David" w:hAnsi="David" w:hint="cs"/>
          <w:rtl/>
        </w:rPr>
        <w:t>.</w:t>
      </w:r>
      <w:r w:rsidRPr="00121478">
        <w:rPr>
          <w:rFonts w:ascii="David" w:hAnsi="David"/>
          <w:rtl/>
        </w:rPr>
        <w:t xml:space="preserve"> </w:t>
      </w:r>
      <w:r w:rsidR="00D16FD2">
        <w:rPr>
          <w:rFonts w:ascii="David" w:hAnsi="David" w:hint="cs"/>
          <w:rtl/>
        </w:rPr>
        <w:t>ד</w:t>
      </w:r>
      <w:r w:rsidRPr="00121478">
        <w:rPr>
          <w:rFonts w:ascii="David" w:hAnsi="David"/>
          <w:rtl/>
        </w:rPr>
        <w:t xml:space="preserve">. </w:t>
      </w:r>
      <w:r w:rsidR="00CE7BBB" w:rsidRPr="00121478">
        <w:rPr>
          <w:rFonts w:ascii="David" w:hAnsi="David"/>
          <w:rtl/>
        </w:rPr>
        <w:t>המשפט הישראלי</w:t>
      </w:r>
      <w:r>
        <w:rPr>
          <w:rFonts w:ascii="David" w:hAnsi="David" w:hint="cs"/>
          <w:rtl/>
        </w:rPr>
        <w:t>;</w:t>
      </w:r>
      <w:r w:rsidRPr="00121478">
        <w:rPr>
          <w:rFonts w:ascii="David" w:hAnsi="David"/>
          <w:rtl/>
        </w:rPr>
        <w:t xml:space="preserve"> 1. </w:t>
      </w:r>
      <w:r w:rsidR="00CE7BBB" w:rsidRPr="00121478">
        <w:rPr>
          <w:rFonts w:ascii="David" w:hAnsi="David"/>
          <w:rtl/>
        </w:rPr>
        <w:t>תניית סילוקין במשפט הישראלי</w:t>
      </w:r>
      <w:r>
        <w:rPr>
          <w:rFonts w:ascii="David" w:hAnsi="David" w:hint="cs"/>
          <w:rtl/>
        </w:rPr>
        <w:t>;</w:t>
      </w:r>
      <w:r w:rsidRPr="00121478">
        <w:rPr>
          <w:rFonts w:ascii="David" w:hAnsi="David"/>
          <w:rtl/>
        </w:rPr>
        <w:t xml:space="preserve"> 2. </w:t>
      </w:r>
      <w:r w:rsidR="00CE7BBB" w:rsidRPr="00121478">
        <w:rPr>
          <w:rFonts w:ascii="David" w:hAnsi="David"/>
          <w:rtl/>
        </w:rPr>
        <w:t>זכותו של המוריש: חופש הציווי</w:t>
      </w:r>
      <w:r>
        <w:rPr>
          <w:rFonts w:ascii="David" w:hAnsi="David" w:hint="cs"/>
          <w:rtl/>
        </w:rPr>
        <w:t>;</w:t>
      </w:r>
      <w:r w:rsidRPr="00121478">
        <w:rPr>
          <w:rFonts w:ascii="David" w:hAnsi="David"/>
          <w:rtl/>
        </w:rPr>
        <w:t xml:space="preserve"> 3. </w:t>
      </w:r>
      <w:r w:rsidR="00CE7BBB" w:rsidRPr="00121478">
        <w:rPr>
          <w:rFonts w:ascii="David" w:hAnsi="David"/>
          <w:rtl/>
        </w:rPr>
        <w:t>זכותו של הנהנה: זכות הגישה לערכאות</w:t>
      </w:r>
      <w:r>
        <w:rPr>
          <w:rFonts w:ascii="David" w:hAnsi="David" w:hint="cs"/>
          <w:rtl/>
        </w:rPr>
        <w:t>;</w:t>
      </w:r>
      <w:r w:rsidRPr="00121478">
        <w:rPr>
          <w:rFonts w:ascii="David" w:hAnsi="David"/>
          <w:rtl/>
        </w:rPr>
        <w:t xml:space="preserve"> 4. </w:t>
      </w:r>
      <w:r w:rsidR="00CE7BBB" w:rsidRPr="00121478">
        <w:rPr>
          <w:rFonts w:ascii="David" w:hAnsi="David"/>
          <w:rtl/>
        </w:rPr>
        <w:t xml:space="preserve">האיזון בין </w:t>
      </w:r>
      <w:r w:rsidR="009E2202" w:rsidRPr="00121478">
        <w:rPr>
          <w:rFonts w:ascii="David" w:hAnsi="David"/>
          <w:rtl/>
        </w:rPr>
        <w:t xml:space="preserve">חופש הציווי </w:t>
      </w:r>
      <w:r w:rsidR="00727935" w:rsidRPr="00121478">
        <w:rPr>
          <w:rFonts w:ascii="David" w:hAnsi="David"/>
          <w:rtl/>
        </w:rPr>
        <w:t xml:space="preserve">של המוריש </w:t>
      </w:r>
      <w:r w:rsidR="009E2202" w:rsidRPr="00121478">
        <w:rPr>
          <w:rFonts w:ascii="David" w:hAnsi="David"/>
          <w:rtl/>
        </w:rPr>
        <w:t>ל</w:t>
      </w:r>
      <w:r w:rsidR="00995CDB" w:rsidRPr="00121478">
        <w:rPr>
          <w:rFonts w:ascii="David" w:hAnsi="David"/>
          <w:rtl/>
        </w:rPr>
        <w:t xml:space="preserve">בין </w:t>
      </w:r>
      <w:r w:rsidR="009E2202" w:rsidRPr="00121478">
        <w:rPr>
          <w:rFonts w:ascii="David" w:hAnsi="David"/>
          <w:rtl/>
        </w:rPr>
        <w:t>זכות הגישה לערכאות</w:t>
      </w:r>
      <w:r w:rsidR="00727935" w:rsidRPr="00121478">
        <w:rPr>
          <w:rFonts w:ascii="David" w:hAnsi="David"/>
          <w:rtl/>
        </w:rPr>
        <w:t xml:space="preserve"> של הנהנה</w:t>
      </w:r>
      <w:r>
        <w:rPr>
          <w:rFonts w:ascii="David" w:hAnsi="David" w:hint="cs"/>
          <w:rtl/>
        </w:rPr>
        <w:t>;</w:t>
      </w:r>
      <w:r w:rsidRPr="00121478">
        <w:rPr>
          <w:rFonts w:ascii="David" w:hAnsi="David"/>
          <w:rtl/>
        </w:rPr>
        <w:t xml:space="preserve"> 5. </w:t>
      </w:r>
      <w:r w:rsidR="00CE7BBB" w:rsidRPr="00121478">
        <w:rPr>
          <w:rFonts w:ascii="David" w:hAnsi="David"/>
          <w:rtl/>
        </w:rPr>
        <w:t>התפתחות ההלכה בישראל ביחס לתניית סילוקין</w:t>
      </w:r>
      <w:r>
        <w:rPr>
          <w:rFonts w:ascii="David" w:hAnsi="David" w:hint="cs"/>
          <w:rtl/>
        </w:rPr>
        <w:t>;</w:t>
      </w:r>
      <w:r w:rsidRPr="00121478">
        <w:rPr>
          <w:rFonts w:ascii="David" w:hAnsi="David"/>
          <w:rtl/>
        </w:rPr>
        <w:t xml:space="preserve"> 6. </w:t>
      </w:r>
      <w:r w:rsidR="00CE7BBB" w:rsidRPr="00121478">
        <w:rPr>
          <w:rFonts w:ascii="David" w:hAnsi="David"/>
          <w:rtl/>
        </w:rPr>
        <w:t xml:space="preserve">האבחנה בין תניות סילוקין </w:t>
      </w:r>
      <w:r w:rsidR="00DA6260" w:rsidRPr="00121478">
        <w:rPr>
          <w:rFonts w:ascii="David" w:hAnsi="David"/>
          <w:rtl/>
        </w:rPr>
        <w:t>"</w:t>
      </w:r>
      <w:r w:rsidR="00CE7BBB" w:rsidRPr="00121478">
        <w:rPr>
          <w:rFonts w:ascii="David" w:hAnsi="David"/>
          <w:rtl/>
        </w:rPr>
        <w:t>צרות</w:t>
      </w:r>
      <w:r w:rsidR="00DA6260" w:rsidRPr="00121478">
        <w:rPr>
          <w:rFonts w:ascii="David" w:hAnsi="David"/>
          <w:rtl/>
        </w:rPr>
        <w:t>"</w:t>
      </w:r>
      <w:r w:rsidR="00CE7BBB" w:rsidRPr="00121478">
        <w:rPr>
          <w:rFonts w:ascii="David" w:hAnsi="David"/>
          <w:rtl/>
        </w:rPr>
        <w:t xml:space="preserve"> לבין תניות סילוקין </w:t>
      </w:r>
      <w:r w:rsidR="00DA6260" w:rsidRPr="00121478">
        <w:rPr>
          <w:rFonts w:ascii="David" w:hAnsi="David"/>
          <w:rtl/>
        </w:rPr>
        <w:t>"</w:t>
      </w:r>
      <w:r w:rsidR="00CE7BBB" w:rsidRPr="00121478">
        <w:rPr>
          <w:rFonts w:ascii="David" w:hAnsi="David"/>
          <w:rtl/>
        </w:rPr>
        <w:t>רחבות</w:t>
      </w:r>
      <w:r w:rsidR="00DA6260" w:rsidRPr="00121478">
        <w:rPr>
          <w:rFonts w:ascii="David" w:hAnsi="David"/>
          <w:rtl/>
        </w:rPr>
        <w:t>"</w:t>
      </w:r>
      <w:r>
        <w:rPr>
          <w:rFonts w:ascii="David" w:hAnsi="David" w:hint="cs"/>
          <w:rtl/>
        </w:rPr>
        <w:t>.</w:t>
      </w:r>
      <w:r w:rsidRPr="00121478">
        <w:rPr>
          <w:rFonts w:ascii="David" w:hAnsi="David"/>
          <w:rtl/>
        </w:rPr>
        <w:t xml:space="preserve"> </w:t>
      </w:r>
      <w:r w:rsidR="00D16FD2">
        <w:rPr>
          <w:rFonts w:ascii="David" w:hAnsi="David" w:hint="cs"/>
          <w:rtl/>
        </w:rPr>
        <w:t>ה</w:t>
      </w:r>
      <w:r w:rsidRPr="00121478">
        <w:rPr>
          <w:rFonts w:ascii="David" w:hAnsi="David"/>
          <w:rtl/>
        </w:rPr>
        <w:t xml:space="preserve">. </w:t>
      </w:r>
      <w:r w:rsidR="00CE7BBB" w:rsidRPr="00121478">
        <w:rPr>
          <w:rFonts w:ascii="David" w:hAnsi="David"/>
          <w:rtl/>
        </w:rPr>
        <w:t>הלכה ותיקה - בעיות חדשות</w:t>
      </w:r>
      <w:r w:rsidRPr="00121478">
        <w:rPr>
          <w:rFonts w:ascii="David" w:hAnsi="David"/>
          <w:rtl/>
        </w:rPr>
        <w:t xml:space="preserve">. </w:t>
      </w:r>
      <w:r w:rsidR="00D16FD2">
        <w:rPr>
          <w:rFonts w:ascii="David" w:hAnsi="David" w:hint="cs"/>
          <w:rtl/>
        </w:rPr>
        <w:t>ו</w:t>
      </w:r>
      <w:r w:rsidRPr="00121478">
        <w:rPr>
          <w:rFonts w:ascii="David" w:hAnsi="David"/>
          <w:rtl/>
        </w:rPr>
        <w:t xml:space="preserve">. </w:t>
      </w:r>
      <w:r w:rsidR="00CE7BBB" w:rsidRPr="00121478">
        <w:rPr>
          <w:rFonts w:ascii="David" w:hAnsi="David"/>
          <w:rtl/>
        </w:rPr>
        <w:t>סיכום</w:t>
      </w:r>
      <w:r w:rsidRPr="00121478">
        <w:rPr>
          <w:rFonts w:ascii="David" w:hAnsi="David"/>
          <w:rtl/>
        </w:rPr>
        <w:t>.</w:t>
      </w:r>
    </w:p>
    <w:p w14:paraId="722C7156" w14:textId="77777777" w:rsidR="001C3222" w:rsidRPr="001C3222" w:rsidRDefault="001C3222" w:rsidP="001C3222">
      <w:pPr>
        <w:spacing w:line="360" w:lineRule="auto"/>
        <w:jc w:val="both"/>
        <w:rPr>
          <w:rFonts w:ascii="David" w:hAnsi="David"/>
          <w:rtl/>
        </w:rPr>
      </w:pPr>
    </w:p>
    <w:p w14:paraId="6C0FB389" w14:textId="77777777" w:rsidR="000C6F02" w:rsidRPr="00BE52DC" w:rsidRDefault="00CE7BBB" w:rsidP="005048AF">
      <w:pPr>
        <w:pStyle w:val="filenumber0"/>
        <w:bidi/>
        <w:spacing w:beforeAutospacing="0" w:after="0" w:afterAutospacing="0" w:line="360" w:lineRule="auto"/>
        <w:jc w:val="both"/>
        <w:rPr>
          <w:rFonts w:cs="David"/>
          <w:b/>
          <w:bCs/>
          <w:rtl/>
        </w:rPr>
      </w:pPr>
      <w:r w:rsidRPr="00BE52DC">
        <w:rPr>
          <w:rFonts w:cs="David" w:hint="eastAsia"/>
          <w:b/>
          <w:bCs/>
          <w:rtl/>
        </w:rPr>
        <w:t>א</w:t>
      </w:r>
      <w:r w:rsidRPr="00BE52DC">
        <w:rPr>
          <w:rFonts w:cs="David"/>
          <w:b/>
          <w:bCs/>
          <w:rtl/>
        </w:rPr>
        <w:t xml:space="preserve">. </w:t>
      </w:r>
      <w:r w:rsidRPr="00BE52DC">
        <w:rPr>
          <w:rFonts w:cs="David" w:hint="eastAsia"/>
          <w:b/>
          <w:bCs/>
          <w:rtl/>
        </w:rPr>
        <w:t>מבוא</w:t>
      </w:r>
    </w:p>
    <w:p w14:paraId="31676E74" w14:textId="77777777" w:rsidR="00316A5C" w:rsidRPr="00CE5196" w:rsidRDefault="00316A5C" w:rsidP="00316A5C">
      <w:pPr>
        <w:pStyle w:val="filenumber0"/>
        <w:bidi/>
        <w:spacing w:beforeAutospacing="0" w:after="0" w:afterAutospacing="0" w:line="360" w:lineRule="auto"/>
        <w:jc w:val="both"/>
        <w:rPr>
          <w:rFonts w:cs="David"/>
          <w:rtl/>
        </w:rPr>
      </w:pPr>
    </w:p>
    <w:p w14:paraId="68053054" w14:textId="5E996905" w:rsidR="00316A5C" w:rsidRDefault="00CE7BBB" w:rsidP="00CE5196">
      <w:pPr>
        <w:pStyle w:val="filenumber0"/>
        <w:bidi/>
        <w:spacing w:beforeAutospacing="0" w:after="0" w:afterAutospacing="0" w:line="360" w:lineRule="auto"/>
        <w:jc w:val="both"/>
        <w:rPr>
          <w:rFonts w:cs="David"/>
          <w:rtl/>
        </w:rPr>
      </w:pPr>
      <w:r w:rsidRPr="00CE5196">
        <w:rPr>
          <w:rFonts w:cs="David" w:hint="cs"/>
          <w:rtl/>
        </w:rPr>
        <w:t>השאלה אם יש לאפשר לאדם להכתיב, ללא כל הגבלה, באיזה אופן יחולק רכושו לאחר מותו העסיקה הוגים ושופטים מאז ומקדם. חרף המשקל שראוי להעניק לרצונו של המצווה</w:t>
      </w:r>
      <w:r w:rsidR="008100EC">
        <w:rPr>
          <w:rFonts w:cs="David" w:hint="cs"/>
          <w:rtl/>
        </w:rPr>
        <w:t>,</w:t>
      </w:r>
      <w:r w:rsidRPr="00CE5196">
        <w:rPr>
          <w:rFonts w:cs="David" w:hint="cs"/>
          <w:rtl/>
        </w:rPr>
        <w:t xml:space="preserve"> בשל זכותו </w:t>
      </w:r>
      <w:r w:rsidRPr="00CE5196">
        <w:rPr>
          <w:rFonts w:cs="David" w:hint="cs"/>
          <w:rtl/>
        </w:rPr>
        <w:lastRenderedPageBreak/>
        <w:t>לחירות ולאוטונומיה, ניתן להצביע על טעמים המצדיקים הטלת מגבלות על חירות זו בשל פגיעה בעקרונות אוניברסליים אחרים של צדק ומוסר. כפי שציין הגל, "שרירות רצונו של האינדיבידואל חופשית להוציא את כל הונו בהתאם לגחמותיו, סברותיו ותכליותיו של היחיד. [...] מתקבל על הדעת כי ההכרה בסמכותו של אדם לצוות [את הונו] באורח שרירותי תביא בעצם לכלל הפרה של יחסים אתיים ולידי מאמצים שפלים והתרפסות שפלה לא פחות, כשם שהיא נותנת שעת כושר וצידוק לשרירותיות אווילית ולנוהג הנבזה להתנות את מה שטוענים שהוא חסד ומתנה בתנאים הנובעים מרום לב ומרשעות דכאנית ונכנסים לתוקפם עם מותו של בעל הצוואה, כלומר כאשר קניינו ממילא חדל להיות שלו".</w:t>
      </w:r>
      <w:r>
        <w:rPr>
          <w:rFonts w:cs="David"/>
          <w:vertAlign w:val="superscript"/>
          <w:rtl/>
        </w:rPr>
        <w:footnoteReference w:id="2"/>
      </w:r>
      <w:r w:rsidRPr="00CE5196">
        <w:rPr>
          <w:rFonts w:cs="David" w:hint="cs"/>
          <w:rtl/>
        </w:rPr>
        <w:t xml:space="preserve"> מקרה פרטי של השאלה הרחבה בדבר זכותו של המצווה לנסח את צוואתו ללא כל מגבלה היא השאלה אם מוצדק לאפשר לו להדיר מהצוואה יורש אשר ייפנה לערכאות כנגד הצוואה. שאלה זו היא בעלת היבטים עיוניים ומעשיים, והיא נדונה הן בפסיקה בחו"ל </w:t>
      </w:r>
      <w:r w:rsidR="008100EC">
        <w:rPr>
          <w:rFonts w:cs="David" w:hint="cs"/>
          <w:rtl/>
        </w:rPr>
        <w:t>ו</w:t>
      </w:r>
      <w:r w:rsidRPr="00CE5196">
        <w:rPr>
          <w:rFonts w:cs="David" w:hint="cs"/>
          <w:rtl/>
        </w:rPr>
        <w:t>הן בפסיקה הישראלית. לשאלה זו נודעה חשיבות, וכדבריה של כבוד השופטת ברק-ארז יש לבחון אותה "בזהירות רבה על מנת לוודא שהפגיעה בזכות הגישה לערכאות אינה בלתי מידתית".</w:t>
      </w:r>
      <w:bookmarkStart w:id="0" w:name="_Ref506674235"/>
      <w:r>
        <w:rPr>
          <w:rStyle w:val="a3"/>
          <w:rtl/>
        </w:rPr>
        <w:footnoteReference w:id="3"/>
      </w:r>
      <w:bookmarkEnd w:id="0"/>
      <w:r w:rsidRPr="00CE5196">
        <w:rPr>
          <w:rFonts w:cs="David" w:hint="cs"/>
          <w:rtl/>
        </w:rPr>
        <w:t xml:space="preserve"> בשאלה זו על היבטיה השונים נדון ברשימה זו.</w:t>
      </w:r>
      <w:r w:rsidR="005A4D15">
        <w:rPr>
          <w:rFonts w:cs="David" w:hint="cs"/>
          <w:rtl/>
        </w:rPr>
        <w:t xml:space="preserve"> </w:t>
      </w:r>
    </w:p>
    <w:p w14:paraId="75AFCE6E" w14:textId="77777777" w:rsidR="00316A5C" w:rsidRPr="00ED4D4B" w:rsidRDefault="00316A5C" w:rsidP="00316A5C">
      <w:pPr>
        <w:pStyle w:val="filenumber0"/>
        <w:bidi/>
        <w:spacing w:beforeAutospacing="0" w:after="0" w:afterAutospacing="0" w:line="360" w:lineRule="auto"/>
        <w:jc w:val="both"/>
        <w:rPr>
          <w:rFonts w:cs="David"/>
          <w:rtl/>
        </w:rPr>
      </w:pPr>
    </w:p>
    <w:p w14:paraId="748F565B" w14:textId="3E5EC82C" w:rsidR="00463A81" w:rsidRPr="00BE52DC" w:rsidRDefault="00CE7BBB" w:rsidP="006B7149">
      <w:pPr>
        <w:pStyle w:val="filenumber0"/>
        <w:bidi/>
        <w:spacing w:beforeAutospacing="0" w:after="0" w:afterAutospacing="0" w:line="360" w:lineRule="auto"/>
        <w:jc w:val="both"/>
        <w:rPr>
          <w:rFonts w:cs="David"/>
          <w:b/>
          <w:bCs/>
          <w:rtl/>
        </w:rPr>
      </w:pPr>
      <w:r w:rsidRPr="00BE52DC">
        <w:rPr>
          <w:rFonts w:cs="David" w:hint="eastAsia"/>
          <w:b/>
          <w:bCs/>
          <w:rtl/>
        </w:rPr>
        <w:t>ב</w:t>
      </w:r>
      <w:r w:rsidR="004C343B" w:rsidRPr="00BE52DC">
        <w:rPr>
          <w:rFonts w:cs="David"/>
          <w:b/>
          <w:bCs/>
          <w:rtl/>
        </w:rPr>
        <w:t xml:space="preserve">. </w:t>
      </w:r>
      <w:r w:rsidRPr="00BE52DC">
        <w:rPr>
          <w:rFonts w:cs="David" w:hint="eastAsia"/>
          <w:b/>
          <w:bCs/>
          <w:rtl/>
        </w:rPr>
        <w:t>תניית</w:t>
      </w:r>
      <w:r w:rsidRPr="00BE52DC">
        <w:rPr>
          <w:rFonts w:cs="David"/>
          <w:b/>
          <w:bCs/>
          <w:rtl/>
        </w:rPr>
        <w:t xml:space="preserve"> סילוקין: הגנה על רצונו של המצווה </w:t>
      </w:r>
      <w:r w:rsidRPr="00BE52DC">
        <w:rPr>
          <w:rFonts w:cs="David" w:hint="eastAsia"/>
          <w:b/>
          <w:bCs/>
          <w:rtl/>
        </w:rPr>
        <w:t>מול</w:t>
      </w:r>
      <w:r w:rsidRPr="00BE52DC">
        <w:rPr>
          <w:rFonts w:cs="David"/>
          <w:b/>
          <w:bCs/>
          <w:rtl/>
        </w:rPr>
        <w:t xml:space="preserve"> </w:t>
      </w:r>
      <w:r w:rsidRPr="00BE52DC">
        <w:rPr>
          <w:rFonts w:cs="David" w:hint="eastAsia"/>
          <w:b/>
          <w:bCs/>
          <w:rtl/>
        </w:rPr>
        <w:t>פגיעה</w:t>
      </w:r>
      <w:r w:rsidRPr="00BE52DC">
        <w:rPr>
          <w:rFonts w:cs="David"/>
          <w:b/>
          <w:bCs/>
          <w:rtl/>
        </w:rPr>
        <w:t xml:space="preserve"> </w:t>
      </w:r>
      <w:r w:rsidRPr="00BE52DC">
        <w:rPr>
          <w:rFonts w:cs="David" w:hint="eastAsia"/>
          <w:b/>
          <w:bCs/>
          <w:rtl/>
        </w:rPr>
        <w:t>בזכות</w:t>
      </w:r>
      <w:r w:rsidRPr="00BE52DC">
        <w:rPr>
          <w:rFonts w:cs="David"/>
          <w:b/>
          <w:bCs/>
          <w:rtl/>
        </w:rPr>
        <w:t xml:space="preserve"> </w:t>
      </w:r>
      <w:r w:rsidRPr="00BE52DC">
        <w:rPr>
          <w:rFonts w:cs="David" w:hint="eastAsia"/>
          <w:b/>
          <w:bCs/>
          <w:rtl/>
        </w:rPr>
        <w:t>הגישה</w:t>
      </w:r>
      <w:r w:rsidRPr="00BE52DC">
        <w:rPr>
          <w:rFonts w:cs="David"/>
          <w:b/>
          <w:bCs/>
          <w:rtl/>
        </w:rPr>
        <w:t xml:space="preserve"> </w:t>
      </w:r>
      <w:r w:rsidRPr="00BE52DC">
        <w:rPr>
          <w:rFonts w:cs="David" w:hint="eastAsia"/>
          <w:b/>
          <w:bCs/>
          <w:rtl/>
        </w:rPr>
        <w:t>לערכאות</w:t>
      </w:r>
      <w:r w:rsidRPr="00BE52DC">
        <w:rPr>
          <w:rFonts w:cs="David"/>
          <w:b/>
          <w:bCs/>
          <w:rtl/>
        </w:rPr>
        <w:t xml:space="preserve"> </w:t>
      </w:r>
      <w:r w:rsidRPr="00BE52DC">
        <w:rPr>
          <w:rFonts w:cs="David" w:hint="eastAsia"/>
          <w:b/>
          <w:bCs/>
          <w:rtl/>
        </w:rPr>
        <w:t>של</w:t>
      </w:r>
      <w:r w:rsidRPr="00BE52DC">
        <w:rPr>
          <w:rFonts w:cs="David"/>
          <w:b/>
          <w:bCs/>
          <w:rtl/>
        </w:rPr>
        <w:t xml:space="preserve"> </w:t>
      </w:r>
      <w:r w:rsidRPr="00BE52DC">
        <w:rPr>
          <w:rFonts w:cs="David" w:hint="eastAsia"/>
          <w:b/>
          <w:bCs/>
          <w:rtl/>
        </w:rPr>
        <w:t>הנהנה</w:t>
      </w:r>
    </w:p>
    <w:p w14:paraId="39F0DFC3" w14:textId="77777777" w:rsidR="003A5671" w:rsidRPr="00ED4D4B" w:rsidRDefault="003A5671" w:rsidP="004C343B">
      <w:pPr>
        <w:pStyle w:val="filenumber0"/>
        <w:bidi/>
        <w:spacing w:beforeAutospacing="0" w:after="0" w:afterAutospacing="0" w:line="360" w:lineRule="auto"/>
        <w:jc w:val="both"/>
        <w:rPr>
          <w:rFonts w:cs="David"/>
          <w:rtl/>
        </w:rPr>
      </w:pPr>
    </w:p>
    <w:p w14:paraId="68C51BAC" w14:textId="55321447" w:rsidR="00715211" w:rsidRPr="003731DA" w:rsidRDefault="00CE7BBB" w:rsidP="008100EC">
      <w:pPr>
        <w:pStyle w:val="filenumber0"/>
        <w:bidi/>
        <w:spacing w:before="0" w:beforeAutospacing="0" w:after="0" w:afterAutospacing="0" w:line="360" w:lineRule="auto"/>
        <w:jc w:val="both"/>
        <w:rPr>
          <w:rtl/>
        </w:rPr>
      </w:pPr>
      <w:r>
        <w:rPr>
          <w:rFonts w:cs="David" w:hint="cs"/>
          <w:b/>
          <w:bCs/>
          <w:rtl/>
        </w:rPr>
        <w:t>תניית סילוקין ו</w:t>
      </w:r>
      <w:r w:rsidR="00472214">
        <w:rPr>
          <w:rFonts w:cs="David" w:hint="cs"/>
          <w:b/>
          <w:bCs/>
          <w:rtl/>
        </w:rPr>
        <w:t xml:space="preserve">זכותו של </w:t>
      </w:r>
      <w:r w:rsidR="00472214" w:rsidRPr="00026887">
        <w:rPr>
          <w:rFonts w:cs="David" w:hint="eastAsia"/>
          <w:b/>
          <w:bCs/>
          <w:rtl/>
        </w:rPr>
        <w:t>המוריש</w:t>
      </w:r>
      <w:r w:rsidR="00472214" w:rsidRPr="00026887">
        <w:rPr>
          <w:rFonts w:cs="David"/>
          <w:b/>
          <w:bCs/>
          <w:rtl/>
        </w:rPr>
        <w:t xml:space="preserve"> </w:t>
      </w:r>
      <w:r w:rsidR="00472214">
        <w:rPr>
          <w:rFonts w:cs="David" w:hint="cs"/>
          <w:b/>
          <w:bCs/>
          <w:rtl/>
        </w:rPr>
        <w:t>ל</w:t>
      </w:r>
      <w:r>
        <w:rPr>
          <w:rFonts w:cs="David" w:hint="cs"/>
          <w:b/>
          <w:bCs/>
          <w:rtl/>
        </w:rPr>
        <w:t>צוות כרצונו</w:t>
      </w:r>
      <w:r w:rsidR="00472214">
        <w:rPr>
          <w:rFonts w:cs="David" w:hint="cs"/>
          <w:rtl/>
        </w:rPr>
        <w:t xml:space="preserve"> </w:t>
      </w:r>
      <w:r w:rsidR="00472214">
        <w:rPr>
          <w:rFonts w:cs="David"/>
          <w:rtl/>
        </w:rPr>
        <w:t>–</w:t>
      </w:r>
      <w:r w:rsidR="00472214">
        <w:rPr>
          <w:rFonts w:cs="David" w:hint="cs"/>
          <w:rtl/>
        </w:rPr>
        <w:t xml:space="preserve"> </w:t>
      </w:r>
      <w:r w:rsidR="005771D3" w:rsidRPr="00ED4D4B">
        <w:rPr>
          <w:rFonts w:cs="David" w:hint="cs"/>
          <w:rtl/>
        </w:rPr>
        <w:t xml:space="preserve">באופן כללי, </w:t>
      </w:r>
      <w:r w:rsidR="00772B5C" w:rsidRPr="00ED4D4B">
        <w:rPr>
          <w:rFonts w:cs="David"/>
          <w:rtl/>
        </w:rPr>
        <w:t xml:space="preserve">צוואה, </w:t>
      </w:r>
      <w:r w:rsidR="00A34F66" w:rsidRPr="00ED4D4B">
        <w:rPr>
          <w:rFonts w:cs="David" w:hint="cs"/>
          <w:rtl/>
        </w:rPr>
        <w:t>בדומה</w:t>
      </w:r>
      <w:r w:rsidR="00772B5C" w:rsidRPr="00ED4D4B">
        <w:rPr>
          <w:rFonts w:cs="David"/>
          <w:rtl/>
        </w:rPr>
        <w:t xml:space="preserve"> </w:t>
      </w:r>
      <w:r w:rsidR="00A34F66" w:rsidRPr="00ED4D4B">
        <w:rPr>
          <w:rFonts w:cs="David" w:hint="cs"/>
          <w:rtl/>
        </w:rPr>
        <w:t>ל</w:t>
      </w:r>
      <w:r w:rsidR="00772B5C" w:rsidRPr="00ED4D4B">
        <w:rPr>
          <w:rFonts w:cs="David"/>
          <w:rtl/>
        </w:rPr>
        <w:t xml:space="preserve">חוזה, </w:t>
      </w:r>
      <w:r w:rsidR="00DA127B" w:rsidRPr="00ED4D4B">
        <w:rPr>
          <w:rFonts w:cs="David" w:hint="cs"/>
          <w:rtl/>
        </w:rPr>
        <w:t>עשויה</w:t>
      </w:r>
      <w:r w:rsidR="00772B5C" w:rsidRPr="00ED4D4B">
        <w:rPr>
          <w:rFonts w:cs="David"/>
          <w:rtl/>
        </w:rPr>
        <w:t xml:space="preserve"> </w:t>
      </w:r>
      <w:r w:rsidR="004C343B" w:rsidRPr="00ED4D4B">
        <w:rPr>
          <w:rFonts w:cs="David" w:hint="cs"/>
          <w:rtl/>
        </w:rPr>
        <w:t>לכלול תני</w:t>
      </w:r>
      <w:r w:rsidR="008100EC">
        <w:rPr>
          <w:rFonts w:cs="David" w:hint="cs"/>
          <w:rtl/>
        </w:rPr>
        <w:t>י</w:t>
      </w:r>
      <w:r w:rsidR="004C343B" w:rsidRPr="00ED4D4B">
        <w:rPr>
          <w:rFonts w:cs="David" w:hint="cs"/>
          <w:rtl/>
        </w:rPr>
        <w:t>ה המטילה מגבלה על יכולת הפנייה</w:t>
      </w:r>
      <w:r w:rsidR="003A5671" w:rsidRPr="00ED4D4B">
        <w:rPr>
          <w:rFonts w:cs="David"/>
          <w:rtl/>
        </w:rPr>
        <w:t xml:space="preserve"> לערכאות</w:t>
      </w:r>
      <w:r w:rsidR="004C343B" w:rsidRPr="00ED4D4B">
        <w:rPr>
          <w:rFonts w:cs="David" w:hint="cs"/>
          <w:rtl/>
        </w:rPr>
        <w:t>.</w:t>
      </w:r>
      <w:r w:rsidR="003A5671" w:rsidRPr="00ED4D4B">
        <w:rPr>
          <w:rFonts w:cs="David" w:hint="cs"/>
          <w:rtl/>
        </w:rPr>
        <w:t xml:space="preserve"> </w:t>
      </w:r>
      <w:r w:rsidR="005771D3" w:rsidRPr="00ED4D4B">
        <w:rPr>
          <w:rFonts w:cs="David" w:hint="cs"/>
          <w:rtl/>
        </w:rPr>
        <w:t>אלא ש</w:t>
      </w:r>
      <w:r w:rsidR="002B554F" w:rsidRPr="00ED4D4B">
        <w:rPr>
          <w:rFonts w:cs="David" w:hint="cs"/>
          <w:rtl/>
        </w:rPr>
        <w:t xml:space="preserve">בניגוד לחוזה, צוואה אינה משקפת </w:t>
      </w:r>
      <w:r w:rsidR="00431FB1" w:rsidRPr="00ED4D4B">
        <w:rPr>
          <w:rFonts w:cs="David" w:hint="cs"/>
          <w:rtl/>
        </w:rPr>
        <w:t>את הסכמת</w:t>
      </w:r>
      <w:r w:rsidR="002B554F" w:rsidRPr="00ED4D4B">
        <w:rPr>
          <w:rFonts w:cs="David" w:hint="cs"/>
          <w:rtl/>
        </w:rPr>
        <w:t xml:space="preserve"> הצדדים</w:t>
      </w:r>
      <w:r w:rsidR="00431FB1" w:rsidRPr="00ED4D4B">
        <w:rPr>
          <w:rFonts w:cs="David" w:hint="cs"/>
          <w:rtl/>
        </w:rPr>
        <w:t xml:space="preserve"> אלא אך את רצון </w:t>
      </w:r>
      <w:r w:rsidR="00BC0E9D">
        <w:rPr>
          <w:rFonts w:cs="David" w:hint="cs"/>
          <w:rtl/>
        </w:rPr>
        <w:t>המצווה</w:t>
      </w:r>
      <w:r w:rsidR="002B554F" w:rsidRPr="00ED4D4B">
        <w:rPr>
          <w:rFonts w:cs="David" w:hint="cs"/>
          <w:rtl/>
        </w:rPr>
        <w:t>.</w:t>
      </w:r>
      <w:r w:rsidR="00B1034C" w:rsidRPr="00ED4D4B">
        <w:rPr>
          <w:rFonts w:cs="David" w:hint="cs"/>
          <w:rtl/>
        </w:rPr>
        <w:t xml:space="preserve"> </w:t>
      </w:r>
      <w:r w:rsidR="00772B5C" w:rsidRPr="00ED4D4B">
        <w:rPr>
          <w:rFonts w:cs="David"/>
          <w:rtl/>
        </w:rPr>
        <w:t xml:space="preserve">הדרך המיוחדת </w:t>
      </w:r>
      <w:r w:rsidR="006F74C4" w:rsidRPr="00ED4D4B">
        <w:rPr>
          <w:rFonts w:cs="David" w:hint="cs"/>
          <w:rtl/>
        </w:rPr>
        <w:t>לשלול</w:t>
      </w:r>
      <w:r w:rsidR="00772B5C" w:rsidRPr="00ED4D4B">
        <w:rPr>
          <w:rFonts w:cs="David"/>
          <w:rtl/>
        </w:rPr>
        <w:t xml:space="preserve"> את הגישה לבית המשפט מכוח צוואה </w:t>
      </w:r>
      <w:r w:rsidR="00DA127B" w:rsidRPr="00ED4D4B">
        <w:rPr>
          <w:rFonts w:cs="David" w:hint="cs"/>
          <w:rtl/>
        </w:rPr>
        <w:t>נעשית באמצעות</w:t>
      </w:r>
      <w:r w:rsidR="00772B5C" w:rsidRPr="00ED4D4B">
        <w:rPr>
          <w:rFonts w:cs="David"/>
          <w:rtl/>
        </w:rPr>
        <w:t xml:space="preserve"> </w:t>
      </w:r>
      <w:r w:rsidR="0006157E" w:rsidRPr="00ED4D4B">
        <w:rPr>
          <w:rFonts w:cs="David" w:hint="cs"/>
          <w:rtl/>
        </w:rPr>
        <w:t>ציוויו</w:t>
      </w:r>
      <w:r w:rsidR="002B554F" w:rsidRPr="00ED4D4B">
        <w:rPr>
          <w:rFonts w:cs="David" w:hint="cs"/>
          <w:rtl/>
        </w:rPr>
        <w:t xml:space="preserve"> של </w:t>
      </w:r>
      <w:r w:rsidR="00BC0E9D">
        <w:rPr>
          <w:rFonts w:cs="David" w:hint="cs"/>
          <w:rtl/>
        </w:rPr>
        <w:t>המצווה</w:t>
      </w:r>
      <w:r w:rsidR="00772B5C" w:rsidRPr="00ED4D4B">
        <w:rPr>
          <w:rFonts w:cs="David"/>
          <w:rtl/>
        </w:rPr>
        <w:t xml:space="preserve">, </w:t>
      </w:r>
      <w:r w:rsidR="008100EC">
        <w:rPr>
          <w:rFonts w:cs="David" w:hint="cs"/>
          <w:rtl/>
        </w:rPr>
        <w:t>על פיו</w:t>
      </w:r>
      <w:r w:rsidR="008100EC" w:rsidRPr="00ED4D4B">
        <w:rPr>
          <w:rFonts w:cs="David"/>
          <w:rtl/>
        </w:rPr>
        <w:t xml:space="preserve"> </w:t>
      </w:r>
      <w:r w:rsidR="00772B5C" w:rsidRPr="00ED4D4B">
        <w:rPr>
          <w:rFonts w:cs="David"/>
          <w:rtl/>
        </w:rPr>
        <w:t>נהנה אשר יתקוף את הצוואה בבית המשפט</w:t>
      </w:r>
      <w:r w:rsidR="00530219" w:rsidRPr="00ED4D4B">
        <w:rPr>
          <w:rFonts w:cs="David" w:hint="cs"/>
          <w:rtl/>
        </w:rPr>
        <w:t xml:space="preserve"> או ייזום פניה לערכאות באופן שעשוי לפגוע במימוש הצוואה כלשונה</w:t>
      </w:r>
      <w:r w:rsidR="00772B5C" w:rsidRPr="00ED4D4B">
        <w:rPr>
          <w:rFonts w:cs="David"/>
          <w:rtl/>
        </w:rPr>
        <w:t xml:space="preserve"> יאבד את חלקו ואת זכויותיו על פי הצוואה. תנאי </w:t>
      </w:r>
      <w:r w:rsidR="00743ABF" w:rsidRPr="00ED4D4B">
        <w:rPr>
          <w:rFonts w:cs="David" w:hint="cs"/>
          <w:rtl/>
        </w:rPr>
        <w:t>מסוג זה</w:t>
      </w:r>
      <w:r w:rsidR="00772B5C" w:rsidRPr="00ED4D4B">
        <w:rPr>
          <w:rFonts w:cs="David"/>
          <w:rtl/>
        </w:rPr>
        <w:t xml:space="preserve"> בצוואה </w:t>
      </w:r>
      <w:r w:rsidR="00992FD6" w:rsidRPr="00ED4D4B">
        <w:rPr>
          <w:rFonts w:cs="David" w:hint="cs"/>
          <w:rtl/>
        </w:rPr>
        <w:t>מכונה</w:t>
      </w:r>
      <w:r w:rsidR="00A34F66" w:rsidRPr="00ED4D4B">
        <w:rPr>
          <w:rFonts w:cs="David" w:hint="cs"/>
          <w:rtl/>
        </w:rPr>
        <w:t xml:space="preserve"> "</w:t>
      </w:r>
      <w:r w:rsidR="00772B5C" w:rsidRPr="00ED4D4B">
        <w:rPr>
          <w:rFonts w:cs="David"/>
          <w:rtl/>
        </w:rPr>
        <w:t xml:space="preserve">תניית </w:t>
      </w:r>
      <w:r w:rsidR="00350225" w:rsidRPr="00ED4D4B">
        <w:rPr>
          <w:rFonts w:cs="David" w:hint="cs"/>
          <w:rtl/>
        </w:rPr>
        <w:t>אי-תחרות</w:t>
      </w:r>
      <w:r w:rsidR="00A34F66" w:rsidRPr="00ED4D4B">
        <w:rPr>
          <w:rFonts w:cs="David" w:hint="cs"/>
          <w:rtl/>
        </w:rPr>
        <w:t>"</w:t>
      </w:r>
      <w:r w:rsidR="00350225" w:rsidRPr="00ED4D4B">
        <w:rPr>
          <w:rFonts w:cs="David" w:hint="cs"/>
          <w:rtl/>
        </w:rPr>
        <w:t xml:space="preserve"> </w:t>
      </w:r>
      <w:r w:rsidR="00224B49" w:rsidRPr="00ED4D4B">
        <w:rPr>
          <w:rFonts w:cs="David" w:hint="cs"/>
          <w:rtl/>
        </w:rPr>
        <w:t>או</w:t>
      </w:r>
      <w:r w:rsidR="00350225" w:rsidRPr="00ED4D4B">
        <w:rPr>
          <w:rFonts w:cs="David" w:hint="cs"/>
          <w:rtl/>
        </w:rPr>
        <w:t xml:space="preserve"> </w:t>
      </w:r>
      <w:r w:rsidR="00A34F66" w:rsidRPr="00ED4D4B">
        <w:rPr>
          <w:rFonts w:cs="David" w:hint="cs"/>
          <w:rtl/>
        </w:rPr>
        <w:t>"</w:t>
      </w:r>
      <w:r w:rsidR="00350225" w:rsidRPr="00ED4D4B">
        <w:rPr>
          <w:rFonts w:cs="David" w:hint="cs"/>
          <w:rtl/>
        </w:rPr>
        <w:t xml:space="preserve">תניית </w:t>
      </w:r>
      <w:r w:rsidR="00772B5C" w:rsidRPr="00ED4D4B">
        <w:rPr>
          <w:rFonts w:cs="David"/>
          <w:rtl/>
        </w:rPr>
        <w:t>סילוקין</w:t>
      </w:r>
      <w:r w:rsidR="00A34F66" w:rsidRPr="00ED4D4B">
        <w:rPr>
          <w:rFonts w:cs="David" w:hint="cs"/>
          <w:rtl/>
        </w:rPr>
        <w:t>"</w:t>
      </w:r>
      <w:r w:rsidR="00E90262" w:rsidRPr="00ED4D4B">
        <w:rPr>
          <w:rFonts w:cs="David" w:hint="cs"/>
          <w:rtl/>
        </w:rPr>
        <w:t xml:space="preserve"> (</w:t>
      </w:r>
      <w:r w:rsidR="00E90262" w:rsidRPr="00ED4D4B">
        <w:rPr>
          <w:rFonts w:cs="David"/>
        </w:rPr>
        <w:t>No Contest Clause</w:t>
      </w:r>
      <w:r w:rsidR="00AB46AF" w:rsidRPr="00ED4D4B">
        <w:rPr>
          <w:rFonts w:cs="David" w:hint="cs"/>
          <w:rtl/>
        </w:rPr>
        <w:t xml:space="preserve"> או </w:t>
      </w:r>
      <w:r w:rsidR="00AB46AF" w:rsidRPr="00ED4D4B">
        <w:rPr>
          <w:color w:val="000000"/>
          <w:shd w:val="clear" w:color="auto" w:fill="FFFFFF"/>
        </w:rPr>
        <w:t>Forfeiture</w:t>
      </w:r>
      <w:r w:rsidR="00AB46AF" w:rsidRPr="00ED4D4B">
        <w:rPr>
          <w:rStyle w:val="apple-converted-space"/>
          <w:color w:val="000000"/>
          <w:shd w:val="clear" w:color="auto" w:fill="FFFFFF"/>
        </w:rPr>
        <w:t> </w:t>
      </w:r>
      <w:r w:rsidR="00AB46AF" w:rsidRPr="00ED4D4B">
        <w:rPr>
          <w:color w:val="000000"/>
          <w:shd w:val="clear" w:color="auto" w:fill="FFFFFF"/>
        </w:rPr>
        <w:t>Clause</w:t>
      </w:r>
      <w:r w:rsidR="00E90262" w:rsidRPr="00ED4D4B">
        <w:rPr>
          <w:rFonts w:cs="David" w:hint="cs"/>
          <w:rtl/>
        </w:rPr>
        <w:t>)</w:t>
      </w:r>
      <w:r w:rsidR="00772B5C" w:rsidRPr="00ED4D4B">
        <w:rPr>
          <w:rFonts w:cs="David"/>
          <w:rtl/>
        </w:rPr>
        <w:t>.</w:t>
      </w:r>
      <w:r w:rsidR="005771D3" w:rsidRPr="00ED4D4B">
        <w:rPr>
          <w:rFonts w:cs="David" w:hint="cs"/>
          <w:rtl/>
        </w:rPr>
        <w:t xml:space="preserve"> </w:t>
      </w:r>
      <w:r w:rsidR="00E714DF" w:rsidRPr="00ED4D4B">
        <w:rPr>
          <w:rFonts w:cs="David" w:hint="cs"/>
          <w:rtl/>
        </w:rPr>
        <w:t>קביעה של תניית סילוקין על ידי מצווה נעשית משני מניעים אפשריים: האחד, רצון המצווה למנוע התדיינות בין היורשים לשם שמירה על "שלום בית";</w:t>
      </w:r>
      <w:r>
        <w:rPr>
          <w:rStyle w:val="a3"/>
          <w:rtl/>
        </w:rPr>
        <w:footnoteReference w:id="4"/>
      </w:r>
      <w:r w:rsidR="00E714DF" w:rsidRPr="00ED4D4B">
        <w:rPr>
          <w:rFonts w:cs="David" w:hint="cs"/>
          <w:rtl/>
        </w:rPr>
        <w:t xml:space="preserve"> והשני הוא רצון המצווה למנוע מהיורשים לסטות מהחלוקה אותה ציווה.</w:t>
      </w:r>
      <w:r>
        <w:rPr>
          <w:rStyle w:val="a3"/>
          <w:rtl/>
        </w:rPr>
        <w:footnoteReference w:id="5"/>
      </w:r>
      <w:r w:rsidR="005771D3" w:rsidRPr="00ED4D4B">
        <w:rPr>
          <w:rFonts w:cs="David" w:hint="cs"/>
          <w:rtl/>
        </w:rPr>
        <w:t xml:space="preserve"> </w:t>
      </w:r>
      <w:r w:rsidR="00E714DF" w:rsidRPr="00ED4D4B">
        <w:rPr>
          <w:rFonts w:cs="David" w:hint="cs"/>
          <w:rtl/>
        </w:rPr>
        <w:t xml:space="preserve"> </w:t>
      </w:r>
    </w:p>
    <w:p w14:paraId="6939A84B" w14:textId="7D40CEE4" w:rsidR="00795561" w:rsidRDefault="00CE7BBB" w:rsidP="00103DB9">
      <w:pPr>
        <w:pStyle w:val="filenumber0"/>
        <w:bidi/>
        <w:spacing w:before="0" w:beforeAutospacing="0" w:after="0" w:afterAutospacing="0" w:line="360" w:lineRule="auto"/>
        <w:ind w:firstLine="720"/>
        <w:jc w:val="both"/>
        <w:rPr>
          <w:rFonts w:ascii="David" w:hAnsi="David" w:cs="David"/>
          <w:rtl/>
        </w:rPr>
      </w:pPr>
      <w:r w:rsidRPr="00026887">
        <w:rPr>
          <w:rFonts w:cs="David" w:hint="eastAsia"/>
          <w:b/>
          <w:bCs/>
          <w:rtl/>
        </w:rPr>
        <w:t>זכות</w:t>
      </w:r>
      <w:r w:rsidRPr="00026887">
        <w:rPr>
          <w:rFonts w:cs="David"/>
          <w:b/>
          <w:bCs/>
          <w:rtl/>
        </w:rPr>
        <w:t xml:space="preserve"> </w:t>
      </w:r>
      <w:r w:rsidRPr="00026887">
        <w:rPr>
          <w:rFonts w:cs="David" w:hint="eastAsia"/>
          <w:b/>
          <w:bCs/>
          <w:rtl/>
        </w:rPr>
        <w:t>הגישה</w:t>
      </w:r>
      <w:r w:rsidRPr="00026887">
        <w:rPr>
          <w:rFonts w:cs="David"/>
          <w:b/>
          <w:bCs/>
          <w:rtl/>
        </w:rPr>
        <w:t xml:space="preserve"> </w:t>
      </w:r>
      <w:r w:rsidRPr="00026887">
        <w:rPr>
          <w:rFonts w:cs="David" w:hint="eastAsia"/>
          <w:b/>
          <w:bCs/>
          <w:rtl/>
        </w:rPr>
        <w:t>לערכאות</w:t>
      </w:r>
      <w:r w:rsidRPr="00026887">
        <w:rPr>
          <w:rFonts w:cs="David"/>
          <w:b/>
          <w:bCs/>
          <w:rtl/>
        </w:rPr>
        <w:t xml:space="preserve"> </w:t>
      </w:r>
      <w:r w:rsidRPr="00026887">
        <w:rPr>
          <w:rFonts w:cs="David" w:hint="eastAsia"/>
          <w:b/>
          <w:bCs/>
          <w:rtl/>
        </w:rPr>
        <w:t>של</w:t>
      </w:r>
      <w:r w:rsidRPr="00026887">
        <w:rPr>
          <w:rFonts w:cs="David"/>
          <w:b/>
          <w:bCs/>
          <w:rtl/>
        </w:rPr>
        <w:t xml:space="preserve"> </w:t>
      </w:r>
      <w:r w:rsidRPr="00026887">
        <w:rPr>
          <w:rFonts w:cs="David" w:hint="eastAsia"/>
          <w:b/>
          <w:bCs/>
          <w:rtl/>
        </w:rPr>
        <w:t>הנהנה</w:t>
      </w:r>
      <w:r>
        <w:rPr>
          <w:rFonts w:cs="David" w:hint="cs"/>
          <w:rtl/>
        </w:rPr>
        <w:t xml:space="preserve"> </w:t>
      </w:r>
      <w:r>
        <w:rPr>
          <w:rFonts w:cs="David"/>
          <w:rtl/>
        </w:rPr>
        <w:t>–</w:t>
      </w:r>
      <w:r>
        <w:rPr>
          <w:rFonts w:cs="David" w:hint="cs"/>
          <w:rtl/>
        </w:rPr>
        <w:t xml:space="preserve"> </w:t>
      </w:r>
      <w:r w:rsidRPr="00472214">
        <w:rPr>
          <w:rFonts w:cs="David" w:hint="cs"/>
          <w:rtl/>
        </w:rPr>
        <w:t>חרף העובדה שניתן להצדיק הכללתה של תניית סילוקין בצוואה מהטעם של הגנה על רצונו של המצווה וכיבודו, היא פוגעת בזכות הגישה לערכאות של הנהנה.</w:t>
      </w:r>
      <w:r>
        <w:rPr>
          <w:rFonts w:cs="David" w:hint="cs"/>
          <w:rtl/>
        </w:rPr>
        <w:t xml:space="preserve"> </w:t>
      </w:r>
      <w:r w:rsidR="00E714DF" w:rsidRPr="003731DA">
        <w:rPr>
          <w:rFonts w:cs="David" w:hint="eastAsia"/>
          <w:rtl/>
        </w:rPr>
        <w:t>תניית</w:t>
      </w:r>
      <w:r w:rsidR="00E714DF" w:rsidRPr="003731DA">
        <w:rPr>
          <w:rFonts w:cs="David"/>
          <w:rtl/>
        </w:rPr>
        <w:t xml:space="preserve"> הסילוקין יוצרת "מחסום" בשל הרתעת הנהנה מפני פנייה לערכאות: אם יפנה לבית המשפט יאבד הנהנה את זכויותיו על פי הצוואה.</w:t>
      </w:r>
      <w:bookmarkStart w:id="1" w:name="_Ref497718253"/>
      <w:r>
        <w:rPr>
          <w:rStyle w:val="a3"/>
          <w:rtl/>
        </w:rPr>
        <w:footnoteReference w:id="6"/>
      </w:r>
      <w:bookmarkEnd w:id="1"/>
      <w:r w:rsidR="00E714DF" w:rsidRPr="003731DA">
        <w:rPr>
          <w:rFonts w:cs="David" w:hint="cs"/>
          <w:rtl/>
        </w:rPr>
        <w:t xml:space="preserve"> זכות הגישה לערכאות היא כיום זכות חוקתית.</w:t>
      </w:r>
      <w:r w:rsidR="005771D3" w:rsidRPr="003731DA">
        <w:rPr>
          <w:rFonts w:cs="David" w:hint="cs"/>
          <w:rtl/>
        </w:rPr>
        <w:t xml:space="preserve"> </w:t>
      </w:r>
      <w:r w:rsidR="005771D3" w:rsidRPr="003731DA">
        <w:rPr>
          <w:rFonts w:ascii="David" w:hAnsi="David" w:cs="David"/>
          <w:rtl/>
        </w:rPr>
        <w:t>מעמד חוקתי זה מבוסס על מספר הצדקות: הראשונה, הצדקה פוליטית-דמוקרטית, שלפיה הגישה לערכאות היא אמצעי חיוני והכרחי לשמירה על הזכויות הפוליטיות</w:t>
      </w:r>
      <w:r w:rsidR="008100EC">
        <w:rPr>
          <w:rFonts w:ascii="David" w:hAnsi="David" w:cs="David" w:hint="cs"/>
          <w:rtl/>
        </w:rPr>
        <w:t>,</w:t>
      </w:r>
      <w:r w:rsidR="005771D3" w:rsidRPr="003731DA">
        <w:rPr>
          <w:rFonts w:ascii="David" w:hAnsi="David" w:cs="David"/>
          <w:rtl/>
        </w:rPr>
        <w:t xml:space="preserve"> המהוות תנאי הכרחי לקיומה של חברה דמוקרטית.</w:t>
      </w:r>
      <w:bookmarkStart w:id="2" w:name="_Ref497718045"/>
      <w:r>
        <w:rPr>
          <w:rStyle w:val="a3"/>
          <w:rFonts w:ascii="David" w:hAnsi="David"/>
          <w:rtl/>
        </w:rPr>
        <w:footnoteReference w:id="7"/>
      </w:r>
      <w:bookmarkEnd w:id="2"/>
      <w:r w:rsidR="005771D3" w:rsidRPr="003731DA">
        <w:rPr>
          <w:rFonts w:ascii="David" w:hAnsi="David" w:cs="David"/>
          <w:rtl/>
        </w:rPr>
        <w:t xml:space="preserve"> השנייה, הצדקה חברתית, לפיה אין זה ראוי שמחסומים כלכליים או כאלה הנובעים ממורכבות ההליך יובילו להדרה של קבוצות אוכלוסייה מוחלשות.</w:t>
      </w:r>
      <w:bookmarkStart w:id="3" w:name="_Ref525830338"/>
      <w:r>
        <w:rPr>
          <w:rStyle w:val="a3"/>
          <w:rFonts w:ascii="David" w:hAnsi="David"/>
          <w:rtl/>
        </w:rPr>
        <w:footnoteReference w:id="8"/>
      </w:r>
      <w:bookmarkEnd w:id="3"/>
      <w:r w:rsidR="005771D3" w:rsidRPr="003731DA">
        <w:rPr>
          <w:rFonts w:ascii="David" w:hAnsi="David" w:cs="David"/>
          <w:rtl/>
        </w:rPr>
        <w:t xml:space="preserve"> הצדקה זו מבוססת הן על החובה שלא להטיל מגבלה בלתי-</w:t>
      </w:r>
      <w:r w:rsidR="005771D3" w:rsidRPr="003731DA">
        <w:rPr>
          <w:rFonts w:ascii="David" w:hAnsi="David" w:cs="David" w:hint="eastAsia"/>
          <w:rtl/>
        </w:rPr>
        <w:t>שוויונית</w:t>
      </w:r>
      <w:r w:rsidR="005771D3" w:rsidRPr="003731DA">
        <w:rPr>
          <w:rFonts w:ascii="David" w:hAnsi="David" w:cs="David"/>
          <w:rtl/>
        </w:rPr>
        <w:t xml:space="preserve"> </w:t>
      </w:r>
      <w:r w:rsidR="005771D3" w:rsidRPr="003731DA">
        <w:rPr>
          <w:rFonts w:ascii="David" w:hAnsi="David" w:cs="David" w:hint="eastAsia"/>
          <w:rtl/>
        </w:rPr>
        <w:t>על</w:t>
      </w:r>
      <w:r w:rsidR="005771D3" w:rsidRPr="003731DA">
        <w:rPr>
          <w:rFonts w:ascii="David" w:hAnsi="David" w:cs="David"/>
          <w:rtl/>
        </w:rPr>
        <w:t xml:space="preserve"> </w:t>
      </w:r>
      <w:r w:rsidR="005771D3" w:rsidRPr="003731DA">
        <w:rPr>
          <w:rFonts w:ascii="David" w:hAnsi="David" w:cs="David" w:hint="eastAsia"/>
          <w:rtl/>
        </w:rPr>
        <w:t>זכות</w:t>
      </w:r>
      <w:r w:rsidR="005771D3" w:rsidRPr="003731DA">
        <w:rPr>
          <w:rFonts w:ascii="David" w:hAnsi="David" w:cs="David"/>
          <w:rtl/>
        </w:rPr>
        <w:t xml:space="preserve"> </w:t>
      </w:r>
      <w:r w:rsidR="005771D3" w:rsidRPr="003731DA">
        <w:rPr>
          <w:rFonts w:ascii="David" w:hAnsi="David" w:cs="David" w:hint="eastAsia"/>
          <w:rtl/>
        </w:rPr>
        <w:t>הגישה</w:t>
      </w:r>
      <w:r w:rsidR="005771D3" w:rsidRPr="003731DA">
        <w:rPr>
          <w:rFonts w:ascii="David" w:hAnsi="David" w:cs="David"/>
          <w:rtl/>
        </w:rPr>
        <w:t xml:space="preserve"> </w:t>
      </w:r>
      <w:r w:rsidR="008100EC">
        <w:rPr>
          <w:rFonts w:ascii="David" w:hAnsi="David" w:cs="David" w:hint="cs"/>
          <w:rtl/>
        </w:rPr>
        <w:t>ו</w:t>
      </w:r>
      <w:r w:rsidR="005771D3" w:rsidRPr="003731DA">
        <w:rPr>
          <w:rFonts w:ascii="David" w:hAnsi="David" w:cs="David" w:hint="eastAsia"/>
          <w:rtl/>
        </w:rPr>
        <w:t>הן</w:t>
      </w:r>
      <w:r w:rsidR="005771D3" w:rsidRPr="003731DA">
        <w:rPr>
          <w:rFonts w:ascii="David" w:hAnsi="David" w:cs="David"/>
          <w:rtl/>
        </w:rPr>
        <w:t xml:space="preserve"> </w:t>
      </w:r>
      <w:r w:rsidR="005771D3" w:rsidRPr="003731DA">
        <w:rPr>
          <w:rFonts w:ascii="David" w:hAnsi="David" w:cs="David" w:hint="eastAsia"/>
          <w:rtl/>
        </w:rPr>
        <w:t>על</w:t>
      </w:r>
      <w:r w:rsidR="005771D3" w:rsidRPr="003731DA">
        <w:rPr>
          <w:rFonts w:ascii="David" w:hAnsi="David" w:cs="David"/>
          <w:rtl/>
        </w:rPr>
        <w:t xml:space="preserve"> </w:t>
      </w:r>
      <w:r w:rsidR="005771D3" w:rsidRPr="003731DA">
        <w:rPr>
          <w:rFonts w:ascii="David" w:hAnsi="David" w:cs="David" w:hint="eastAsia"/>
          <w:rtl/>
        </w:rPr>
        <w:t>הרצון</w:t>
      </w:r>
      <w:r w:rsidR="005771D3" w:rsidRPr="003731DA">
        <w:rPr>
          <w:rFonts w:ascii="David" w:hAnsi="David" w:cs="David"/>
          <w:rtl/>
        </w:rPr>
        <w:t xml:space="preserve"> </w:t>
      </w:r>
      <w:r w:rsidR="005771D3" w:rsidRPr="003731DA">
        <w:rPr>
          <w:rFonts w:ascii="David" w:hAnsi="David" w:cs="David" w:hint="eastAsia"/>
          <w:rtl/>
        </w:rPr>
        <w:t>לצמצם</w:t>
      </w:r>
      <w:r w:rsidR="005771D3" w:rsidRPr="003731DA">
        <w:rPr>
          <w:rFonts w:ascii="David" w:hAnsi="David" w:cs="David"/>
          <w:rtl/>
        </w:rPr>
        <w:t xml:space="preserve"> </w:t>
      </w:r>
      <w:r w:rsidR="005771D3" w:rsidRPr="003731DA">
        <w:rPr>
          <w:rFonts w:ascii="David" w:hAnsi="David" w:cs="David" w:hint="eastAsia"/>
          <w:rtl/>
        </w:rPr>
        <w:t>פערים</w:t>
      </w:r>
      <w:r w:rsidR="005771D3" w:rsidRPr="003731DA">
        <w:rPr>
          <w:rFonts w:ascii="David" w:hAnsi="David" w:cs="David"/>
          <w:rtl/>
        </w:rPr>
        <w:t xml:space="preserve"> </w:t>
      </w:r>
      <w:r w:rsidR="005771D3" w:rsidRPr="003731DA">
        <w:rPr>
          <w:rFonts w:ascii="David" w:hAnsi="David" w:cs="David" w:hint="eastAsia"/>
          <w:rtl/>
        </w:rPr>
        <w:t>חברתיים</w:t>
      </w:r>
      <w:r w:rsidR="005771D3" w:rsidRPr="003731DA">
        <w:rPr>
          <w:rFonts w:ascii="David" w:hAnsi="David" w:cs="David"/>
          <w:rtl/>
        </w:rPr>
        <w:t>.</w:t>
      </w:r>
      <w:r>
        <w:rPr>
          <w:rStyle w:val="a3"/>
          <w:rFonts w:ascii="David" w:hAnsi="David"/>
          <w:rtl/>
        </w:rPr>
        <w:footnoteReference w:id="9"/>
      </w:r>
      <w:r w:rsidR="005771D3" w:rsidRPr="003731DA">
        <w:rPr>
          <w:rFonts w:ascii="David" w:hAnsi="David" w:cs="David"/>
          <w:rtl/>
        </w:rPr>
        <w:t xml:space="preserve"> השלישית, הצדקה מכשירנית, לפיה מימושה של זכות תתאפשר רק באמצעות קיומו של הליך שיכיר בה, יפרשה, יבחן את היקפה, ויקבע מהו הסעד הניתן בעקבות הפרתה.</w:t>
      </w:r>
      <w:bookmarkStart w:id="4" w:name="_Ref497718645"/>
      <w:r>
        <w:rPr>
          <w:rStyle w:val="a3"/>
          <w:rFonts w:ascii="David" w:hAnsi="David"/>
          <w:rtl/>
        </w:rPr>
        <w:footnoteReference w:id="10"/>
      </w:r>
      <w:bookmarkEnd w:id="4"/>
      <w:r w:rsidR="005771D3" w:rsidRPr="003731DA">
        <w:rPr>
          <w:rFonts w:ascii="David" w:hAnsi="David" w:cs="David"/>
          <w:rtl/>
        </w:rPr>
        <w:t xml:space="preserve"> הצדקות מרכזיות אלו, לצד הצדקות וטעמים משלימים,</w:t>
      </w:r>
      <w:bookmarkStart w:id="5" w:name="_Ref497718896"/>
      <w:r>
        <w:rPr>
          <w:rStyle w:val="a3"/>
          <w:rFonts w:ascii="David" w:hAnsi="David"/>
          <w:rtl/>
        </w:rPr>
        <w:footnoteReference w:id="11"/>
      </w:r>
      <w:bookmarkEnd w:id="5"/>
      <w:r w:rsidR="005771D3" w:rsidRPr="003731DA">
        <w:rPr>
          <w:rFonts w:ascii="David" w:hAnsi="David" w:cs="David"/>
          <w:rtl/>
        </w:rPr>
        <w:t xml:space="preserve"> מצביעות על אופייה העשיר של זכות הגישה לערכאות</w:t>
      </w:r>
      <w:r w:rsidR="008100EC">
        <w:rPr>
          <w:rFonts w:ascii="David" w:hAnsi="David" w:cs="David" w:hint="cs"/>
          <w:rtl/>
        </w:rPr>
        <w:t>,</w:t>
      </w:r>
      <w:r w:rsidR="005771D3" w:rsidRPr="003731DA">
        <w:rPr>
          <w:rFonts w:ascii="David" w:hAnsi="David" w:cs="David"/>
          <w:rtl/>
        </w:rPr>
        <w:t xml:space="preserve"> המהווה אגד של זכויות בבחינת "מעשה תצריף".</w:t>
      </w:r>
      <w:r>
        <w:rPr>
          <w:rStyle w:val="a3"/>
          <w:rFonts w:ascii="David" w:hAnsi="David"/>
          <w:rtl/>
        </w:rPr>
        <w:footnoteReference w:id="12"/>
      </w:r>
    </w:p>
    <w:p w14:paraId="696108C5" w14:textId="77777777" w:rsidR="00E714DF" w:rsidRDefault="00CE7BBB" w:rsidP="00B52272">
      <w:pPr>
        <w:pStyle w:val="filenumber0"/>
        <w:bidi/>
        <w:spacing w:before="0" w:beforeAutospacing="0" w:after="0" w:afterAutospacing="0" w:line="360" w:lineRule="auto"/>
        <w:ind w:firstLine="720"/>
        <w:jc w:val="both"/>
        <w:rPr>
          <w:rFonts w:cs="David"/>
          <w:rtl/>
        </w:rPr>
      </w:pPr>
      <w:r w:rsidRPr="00026887">
        <w:rPr>
          <w:rFonts w:ascii="David" w:hAnsi="David" w:cs="David" w:hint="eastAsia"/>
          <w:b/>
          <w:bCs/>
          <w:rtl/>
        </w:rPr>
        <w:t>האיזון</w:t>
      </w:r>
      <w:r w:rsidRPr="00026887">
        <w:rPr>
          <w:rFonts w:ascii="David" w:hAnsi="David" w:cs="David"/>
          <w:b/>
          <w:bCs/>
          <w:rtl/>
        </w:rPr>
        <w:t xml:space="preserve"> בין זכותו של </w:t>
      </w:r>
      <w:r w:rsidR="00B52272">
        <w:rPr>
          <w:rFonts w:ascii="David" w:hAnsi="David" w:cs="David" w:hint="cs"/>
          <w:b/>
          <w:bCs/>
          <w:rtl/>
        </w:rPr>
        <w:t>המצווה</w:t>
      </w:r>
      <w:r w:rsidRPr="00026887">
        <w:rPr>
          <w:rFonts w:ascii="David" w:hAnsi="David" w:cs="David"/>
          <w:b/>
          <w:bCs/>
          <w:rtl/>
        </w:rPr>
        <w:t xml:space="preserve"> </w:t>
      </w:r>
      <w:r w:rsidR="00056765">
        <w:rPr>
          <w:rFonts w:ascii="David" w:hAnsi="David" w:cs="David" w:hint="cs"/>
          <w:b/>
          <w:bCs/>
          <w:rtl/>
        </w:rPr>
        <w:t xml:space="preserve">לקבוע תניית סילוקין </w:t>
      </w:r>
      <w:r w:rsidRPr="00026887">
        <w:rPr>
          <w:rFonts w:ascii="David" w:hAnsi="David" w:cs="David" w:hint="eastAsia"/>
          <w:b/>
          <w:bCs/>
          <w:rtl/>
        </w:rPr>
        <w:t>ל</w:t>
      </w:r>
      <w:r>
        <w:rPr>
          <w:rFonts w:ascii="David" w:hAnsi="David" w:cs="David" w:hint="cs"/>
          <w:b/>
          <w:bCs/>
          <w:rtl/>
        </w:rPr>
        <w:t xml:space="preserve">בין </w:t>
      </w:r>
      <w:r w:rsidRPr="00026887">
        <w:rPr>
          <w:rFonts w:ascii="David" w:hAnsi="David" w:cs="David" w:hint="eastAsia"/>
          <w:b/>
          <w:bCs/>
          <w:rtl/>
        </w:rPr>
        <w:t>זכות</w:t>
      </w:r>
      <w:r w:rsidRPr="00026887">
        <w:rPr>
          <w:rFonts w:ascii="David" w:hAnsi="David" w:cs="David"/>
          <w:b/>
          <w:bCs/>
          <w:rtl/>
        </w:rPr>
        <w:t xml:space="preserve"> </w:t>
      </w:r>
      <w:r w:rsidRPr="00026887">
        <w:rPr>
          <w:rFonts w:ascii="David" w:hAnsi="David" w:cs="David" w:hint="eastAsia"/>
          <w:b/>
          <w:bCs/>
          <w:rtl/>
        </w:rPr>
        <w:t>הגישה</w:t>
      </w:r>
      <w:r w:rsidRPr="00026887">
        <w:rPr>
          <w:rFonts w:ascii="David" w:hAnsi="David" w:cs="David"/>
          <w:b/>
          <w:bCs/>
          <w:rtl/>
        </w:rPr>
        <w:t xml:space="preserve"> </w:t>
      </w:r>
      <w:r w:rsidRPr="00026887">
        <w:rPr>
          <w:rFonts w:ascii="David" w:hAnsi="David" w:cs="David" w:hint="eastAsia"/>
          <w:b/>
          <w:bCs/>
          <w:rtl/>
        </w:rPr>
        <w:t>לערכאות</w:t>
      </w:r>
      <w:r w:rsidRPr="00026887">
        <w:rPr>
          <w:rFonts w:ascii="David" w:hAnsi="David" w:cs="David"/>
          <w:b/>
          <w:bCs/>
          <w:rtl/>
        </w:rPr>
        <w:t xml:space="preserve"> </w:t>
      </w:r>
      <w:r w:rsidRPr="00026887">
        <w:rPr>
          <w:rFonts w:ascii="David" w:hAnsi="David" w:cs="David" w:hint="eastAsia"/>
          <w:b/>
          <w:bCs/>
          <w:rtl/>
        </w:rPr>
        <w:t>של</w:t>
      </w:r>
      <w:r w:rsidRPr="00026887">
        <w:rPr>
          <w:rFonts w:ascii="David" w:hAnsi="David" w:cs="David"/>
          <w:b/>
          <w:bCs/>
          <w:rtl/>
        </w:rPr>
        <w:t xml:space="preserve"> </w:t>
      </w:r>
      <w:r w:rsidRPr="00026887">
        <w:rPr>
          <w:rFonts w:ascii="David" w:hAnsi="David" w:cs="David" w:hint="eastAsia"/>
          <w:b/>
          <w:bCs/>
          <w:rtl/>
        </w:rPr>
        <w:t>הנהנה</w:t>
      </w:r>
      <w:r>
        <w:rPr>
          <w:rFonts w:ascii="David" w:hAnsi="David" w:cs="David" w:hint="cs"/>
          <w:rtl/>
        </w:rPr>
        <w:t xml:space="preserve"> </w:t>
      </w:r>
      <w:r>
        <w:rPr>
          <w:rFonts w:ascii="David" w:hAnsi="David" w:cs="David"/>
          <w:rtl/>
        </w:rPr>
        <w:t>–</w:t>
      </w:r>
      <w:r>
        <w:rPr>
          <w:rFonts w:ascii="David" w:hAnsi="David" w:cs="David" w:hint="cs"/>
          <w:rtl/>
        </w:rPr>
        <w:t xml:space="preserve"> כיצד </w:t>
      </w:r>
      <w:r w:rsidR="00C30DE0">
        <w:rPr>
          <w:rFonts w:ascii="David" w:hAnsi="David" w:cs="David" w:hint="cs"/>
          <w:rtl/>
        </w:rPr>
        <w:t>ניתן</w:t>
      </w:r>
      <w:r>
        <w:rPr>
          <w:rFonts w:ascii="David" w:hAnsi="David" w:cs="David" w:hint="cs"/>
          <w:rtl/>
        </w:rPr>
        <w:t xml:space="preserve"> לאזן בין זכותו של </w:t>
      </w:r>
      <w:r w:rsidR="00B52272">
        <w:rPr>
          <w:rFonts w:ascii="David" w:hAnsi="David" w:cs="David" w:hint="cs"/>
          <w:rtl/>
        </w:rPr>
        <w:t>המצווה</w:t>
      </w:r>
      <w:r>
        <w:rPr>
          <w:rFonts w:ascii="David" w:hAnsi="David" w:cs="David" w:hint="cs"/>
          <w:rtl/>
        </w:rPr>
        <w:t xml:space="preserve"> ל</w:t>
      </w:r>
      <w:r w:rsidR="00F87467">
        <w:rPr>
          <w:rFonts w:ascii="David" w:hAnsi="David" w:cs="David" w:hint="cs"/>
          <w:rtl/>
        </w:rPr>
        <w:t>קבוע תניית סילוקין בצוואתו לבין זכותו של הנהנה לפנות לערכאות נגד הצוואה? מהסקירה המשווה שנציג להלן עולים ומזדקרים ארבעה מודלים עקרוניים</w:t>
      </w:r>
      <w:r w:rsidR="00F87467" w:rsidRPr="002537B1">
        <w:rPr>
          <w:rFonts w:ascii="David" w:hAnsi="David" w:cs="David" w:hint="cs"/>
          <w:rtl/>
        </w:rPr>
        <w:t>:</w:t>
      </w:r>
      <w:r>
        <w:rPr>
          <w:rStyle w:val="a3"/>
          <w:rFonts w:ascii="David" w:hAnsi="David"/>
          <w:rtl/>
        </w:rPr>
        <w:footnoteReference w:id="13"/>
      </w:r>
      <w:r w:rsidR="00F87467">
        <w:rPr>
          <w:rFonts w:ascii="David" w:hAnsi="David" w:cs="David" w:hint="cs"/>
          <w:rtl/>
        </w:rPr>
        <w:t xml:space="preserve"> </w:t>
      </w:r>
      <w:r w:rsidR="002D5FC7">
        <w:rPr>
          <w:rFonts w:cs="David" w:hint="cs"/>
          <w:rtl/>
        </w:rPr>
        <w:t xml:space="preserve"> </w:t>
      </w:r>
    </w:p>
    <w:p w14:paraId="1F192B45" w14:textId="3A4DFEA2" w:rsidR="003731DA" w:rsidRDefault="00CE7BBB" w:rsidP="0039213A">
      <w:pPr>
        <w:pStyle w:val="filenumber0"/>
        <w:bidi/>
        <w:spacing w:beforeAutospacing="0" w:after="0" w:afterAutospacing="0" w:line="360" w:lineRule="auto"/>
        <w:ind w:firstLine="360"/>
        <w:jc w:val="both"/>
        <w:rPr>
          <w:rFonts w:cs="David"/>
        </w:rPr>
      </w:pPr>
      <w:r w:rsidRPr="00077E70">
        <w:rPr>
          <w:rFonts w:cs="David" w:hint="cs"/>
          <w:b/>
          <w:bCs/>
          <w:rtl/>
        </w:rPr>
        <w:t>"מודל</w:t>
      </w:r>
      <w:r w:rsidR="003201EB" w:rsidRPr="00077E70">
        <w:rPr>
          <w:rFonts w:cs="David" w:hint="cs"/>
          <w:b/>
          <w:bCs/>
          <w:rtl/>
        </w:rPr>
        <w:t xml:space="preserve"> העדר </w:t>
      </w:r>
      <w:r w:rsidR="00DF50AA" w:rsidRPr="00077E70">
        <w:rPr>
          <w:rFonts w:cs="David" w:hint="cs"/>
          <w:b/>
          <w:bCs/>
          <w:rtl/>
        </w:rPr>
        <w:t>ה</w:t>
      </w:r>
      <w:r w:rsidR="003201EB" w:rsidRPr="00077E70">
        <w:rPr>
          <w:rFonts w:cs="David" w:hint="cs"/>
          <w:b/>
          <w:bCs/>
          <w:rtl/>
        </w:rPr>
        <w:t>תוקף"</w:t>
      </w:r>
      <w:r w:rsidRPr="003731DA">
        <w:rPr>
          <w:rFonts w:cs="David" w:hint="cs"/>
          <w:rtl/>
        </w:rPr>
        <w:t xml:space="preserve"> </w:t>
      </w:r>
      <w:r w:rsidR="00F87467">
        <w:rPr>
          <w:rFonts w:cs="David"/>
          <w:rtl/>
        </w:rPr>
        <w:t>–</w:t>
      </w:r>
      <w:r w:rsidRPr="003731DA">
        <w:rPr>
          <w:rFonts w:cs="David" w:hint="cs"/>
          <w:rtl/>
        </w:rPr>
        <w:t xml:space="preserve"> </w:t>
      </w:r>
      <w:r w:rsidR="00F87467">
        <w:rPr>
          <w:rFonts w:cs="David" w:hint="cs"/>
          <w:rtl/>
        </w:rPr>
        <w:t xml:space="preserve">בהתאם למודל זה תניית סילוקין </w:t>
      </w:r>
      <w:r w:rsidR="001F3900">
        <w:rPr>
          <w:rFonts w:cs="David" w:hint="cs"/>
          <w:rtl/>
        </w:rPr>
        <w:t xml:space="preserve">שנקבעה </w:t>
      </w:r>
      <w:r w:rsidR="0039213A">
        <w:rPr>
          <w:rFonts w:cs="David" w:hint="cs"/>
          <w:rtl/>
        </w:rPr>
        <w:t xml:space="preserve">בצוואה </w:t>
      </w:r>
      <w:r w:rsidR="00F87467">
        <w:rPr>
          <w:rFonts w:cs="David" w:hint="cs"/>
          <w:rtl/>
        </w:rPr>
        <w:t>אינה ברת תוקף</w:t>
      </w:r>
      <w:r w:rsidR="003111F2">
        <w:rPr>
          <w:rFonts w:cs="David" w:hint="cs"/>
          <w:rtl/>
        </w:rPr>
        <w:t xml:space="preserve"> ועל כן בטלה</w:t>
      </w:r>
      <w:r w:rsidR="00F87467">
        <w:rPr>
          <w:rFonts w:cs="David" w:hint="cs"/>
          <w:rtl/>
        </w:rPr>
        <w:t xml:space="preserve">. </w:t>
      </w:r>
      <w:r w:rsidR="00F237FF">
        <w:rPr>
          <w:rFonts w:cs="David" w:hint="cs"/>
          <w:rtl/>
        </w:rPr>
        <w:t xml:space="preserve">ביטולה של תניית הסילוקין נוטלת </w:t>
      </w:r>
      <w:r w:rsidR="00B52272">
        <w:rPr>
          <w:rFonts w:cs="David" w:hint="cs"/>
          <w:rtl/>
        </w:rPr>
        <w:t>מהמצווה</w:t>
      </w:r>
      <w:r w:rsidR="00F237FF">
        <w:rPr>
          <w:rFonts w:cs="David" w:hint="cs"/>
          <w:rtl/>
        </w:rPr>
        <w:t xml:space="preserve"> את הכוח להרתיע או "להעניש" את הנהנה על שבחר לפנות לבית המשפט כדי לתקוף את הצוואה. </w:t>
      </w:r>
      <w:r w:rsidR="003201EB">
        <w:rPr>
          <w:rFonts w:cs="David" w:hint="cs"/>
          <w:rtl/>
        </w:rPr>
        <w:t>מודל זה</w:t>
      </w:r>
      <w:r w:rsidR="00AE0564">
        <w:rPr>
          <w:rFonts w:cs="David" w:hint="cs"/>
          <w:rtl/>
        </w:rPr>
        <w:t xml:space="preserve"> מעניק</w:t>
      </w:r>
      <w:r>
        <w:rPr>
          <w:rFonts w:cs="David" w:hint="cs"/>
          <w:rtl/>
        </w:rPr>
        <w:t xml:space="preserve"> עדיפות מלאה לזכותו של הנהנה לפנות לערכאות</w:t>
      </w:r>
      <w:r w:rsidR="001F3900">
        <w:rPr>
          <w:rFonts w:cs="David" w:hint="cs"/>
          <w:rtl/>
        </w:rPr>
        <w:t xml:space="preserve"> </w:t>
      </w:r>
      <w:r w:rsidR="003111F2">
        <w:rPr>
          <w:rFonts w:cs="David" w:hint="cs"/>
          <w:rtl/>
        </w:rPr>
        <w:t xml:space="preserve">נגד הצוואה </w:t>
      </w:r>
      <w:r w:rsidR="001F3900">
        <w:rPr>
          <w:rFonts w:cs="David" w:hint="cs"/>
          <w:rtl/>
        </w:rPr>
        <w:t xml:space="preserve">על פני זכותו של </w:t>
      </w:r>
      <w:r w:rsidR="00B52272">
        <w:rPr>
          <w:rFonts w:cs="David" w:hint="cs"/>
          <w:rtl/>
        </w:rPr>
        <w:t>המצווה</w:t>
      </w:r>
      <w:r w:rsidR="003111F2">
        <w:rPr>
          <w:rFonts w:cs="David" w:hint="cs"/>
          <w:rtl/>
        </w:rPr>
        <w:t xml:space="preserve"> </w:t>
      </w:r>
      <w:r w:rsidR="00F237FF">
        <w:rPr>
          <w:rFonts w:cs="David" w:hint="cs"/>
          <w:rtl/>
        </w:rPr>
        <w:t>להרתיע את ה</w:t>
      </w:r>
      <w:r w:rsidR="003111F2">
        <w:rPr>
          <w:rFonts w:cs="David" w:hint="cs"/>
          <w:rtl/>
        </w:rPr>
        <w:t xml:space="preserve">נהנה </w:t>
      </w:r>
      <w:r w:rsidR="0080552A">
        <w:rPr>
          <w:rFonts w:cs="David" w:hint="cs"/>
          <w:rtl/>
        </w:rPr>
        <w:t>מ</w:t>
      </w:r>
      <w:r w:rsidR="003111F2">
        <w:rPr>
          <w:rFonts w:cs="David" w:hint="cs"/>
          <w:rtl/>
        </w:rPr>
        <w:t>לעשות כן</w:t>
      </w:r>
      <w:r>
        <w:rPr>
          <w:rFonts w:cs="David" w:hint="cs"/>
          <w:rtl/>
        </w:rPr>
        <w:t>.</w:t>
      </w:r>
    </w:p>
    <w:p w14:paraId="239DBA67" w14:textId="5D2E65CA" w:rsidR="00BD521B" w:rsidRDefault="00CE7BBB" w:rsidP="0039213A">
      <w:pPr>
        <w:pStyle w:val="filenumber0"/>
        <w:bidi/>
        <w:spacing w:beforeAutospacing="0" w:after="0" w:afterAutospacing="0" w:line="360" w:lineRule="auto"/>
        <w:ind w:firstLine="360"/>
        <w:jc w:val="both"/>
        <w:rPr>
          <w:rFonts w:cs="David"/>
        </w:rPr>
      </w:pPr>
      <w:r w:rsidRPr="00077E70">
        <w:rPr>
          <w:rFonts w:cs="David" w:hint="cs"/>
          <w:b/>
          <w:bCs/>
          <w:rtl/>
        </w:rPr>
        <w:t xml:space="preserve">"מודל </w:t>
      </w:r>
      <w:r w:rsidR="00AE0564" w:rsidRPr="00077E70">
        <w:rPr>
          <w:rFonts w:cs="David" w:hint="cs"/>
          <w:b/>
          <w:bCs/>
          <w:rtl/>
        </w:rPr>
        <w:t>התוקף ה</w:t>
      </w:r>
      <w:r w:rsidR="00513018" w:rsidRPr="00077E70">
        <w:rPr>
          <w:rFonts w:cs="David" w:hint="cs"/>
          <w:b/>
          <w:bCs/>
          <w:rtl/>
        </w:rPr>
        <w:t>מותנה</w:t>
      </w:r>
      <w:r w:rsidRPr="00077E70">
        <w:rPr>
          <w:rFonts w:cs="David" w:hint="cs"/>
          <w:b/>
          <w:bCs/>
          <w:rtl/>
        </w:rPr>
        <w:t>"</w:t>
      </w:r>
      <w:r>
        <w:rPr>
          <w:rFonts w:cs="David" w:hint="cs"/>
          <w:rtl/>
        </w:rPr>
        <w:t xml:space="preserve"> </w:t>
      </w:r>
      <w:r w:rsidR="001F3900">
        <w:rPr>
          <w:rFonts w:cs="David"/>
          <w:rtl/>
        </w:rPr>
        <w:t>–</w:t>
      </w:r>
      <w:r w:rsidRPr="003731DA">
        <w:rPr>
          <w:rFonts w:cs="David" w:hint="cs"/>
          <w:rtl/>
        </w:rPr>
        <w:t xml:space="preserve"> </w:t>
      </w:r>
      <w:r w:rsidR="001F3900">
        <w:rPr>
          <w:rFonts w:cs="David" w:hint="cs"/>
          <w:rtl/>
        </w:rPr>
        <w:t>בהתאם ל</w:t>
      </w:r>
      <w:r>
        <w:rPr>
          <w:rFonts w:cs="David" w:hint="cs"/>
          <w:rtl/>
        </w:rPr>
        <w:t xml:space="preserve">מודל </w:t>
      </w:r>
      <w:r w:rsidR="001F3900">
        <w:rPr>
          <w:rFonts w:cs="David" w:hint="cs"/>
          <w:rtl/>
        </w:rPr>
        <w:t xml:space="preserve">זה </w:t>
      </w:r>
      <w:r>
        <w:rPr>
          <w:rFonts w:cs="David" w:hint="cs"/>
          <w:rtl/>
        </w:rPr>
        <w:t xml:space="preserve">תניית סילוקין </w:t>
      </w:r>
      <w:r w:rsidR="007B7B51">
        <w:rPr>
          <w:rFonts w:cs="David" w:hint="cs"/>
          <w:rtl/>
        </w:rPr>
        <w:t xml:space="preserve">תהיה </w:t>
      </w:r>
      <w:r w:rsidR="001F3900">
        <w:rPr>
          <w:rFonts w:cs="David" w:hint="cs"/>
          <w:rtl/>
        </w:rPr>
        <w:t xml:space="preserve">ברת תוקף </w:t>
      </w:r>
      <w:r w:rsidR="00AE0564">
        <w:rPr>
          <w:rFonts w:cs="David" w:hint="cs"/>
          <w:rtl/>
        </w:rPr>
        <w:t xml:space="preserve">רק בהתקיים </w:t>
      </w:r>
      <w:r>
        <w:rPr>
          <w:rFonts w:cs="David" w:hint="cs"/>
          <w:rtl/>
        </w:rPr>
        <w:t xml:space="preserve">תנאים צורניים מסוימים הקשורים לאופן שבו ניסח </w:t>
      </w:r>
      <w:r w:rsidR="00B52272">
        <w:rPr>
          <w:rFonts w:cs="David" w:hint="cs"/>
          <w:rtl/>
        </w:rPr>
        <w:t>המצווה</w:t>
      </w:r>
      <w:r>
        <w:rPr>
          <w:rFonts w:cs="David" w:hint="cs"/>
          <w:rtl/>
        </w:rPr>
        <w:t xml:space="preserve"> את התנייה</w:t>
      </w:r>
      <w:r w:rsidR="00513018">
        <w:rPr>
          <w:rFonts w:cs="David" w:hint="cs"/>
          <w:rtl/>
        </w:rPr>
        <w:t xml:space="preserve"> ובתנאים הקשורים לתוכנה של התנייה בכל הנוגע לרכוש המחולק ולמגבלות המוטלות על הנהנים</w:t>
      </w:r>
      <w:r>
        <w:rPr>
          <w:rFonts w:cs="David" w:hint="cs"/>
          <w:rtl/>
        </w:rPr>
        <w:t xml:space="preserve">. לדוגמה, תניית סילוקין תהיה </w:t>
      </w:r>
      <w:r w:rsidR="00077E70">
        <w:rPr>
          <w:rFonts w:cs="David" w:hint="cs"/>
          <w:rtl/>
        </w:rPr>
        <w:t xml:space="preserve">ברת </w:t>
      </w:r>
      <w:r>
        <w:rPr>
          <w:rFonts w:cs="David" w:hint="cs"/>
          <w:rtl/>
        </w:rPr>
        <w:t xml:space="preserve">תוקף, </w:t>
      </w:r>
      <w:r w:rsidR="00077E70">
        <w:rPr>
          <w:rFonts w:cs="David" w:hint="cs"/>
          <w:rtl/>
        </w:rPr>
        <w:t xml:space="preserve">בכפוף לכך </w:t>
      </w:r>
      <w:r w:rsidR="00BA65A1">
        <w:rPr>
          <w:rFonts w:cs="David" w:hint="cs"/>
          <w:rtl/>
        </w:rPr>
        <w:t xml:space="preserve">שהמצווה </w:t>
      </w:r>
      <w:r w:rsidR="00077E70">
        <w:rPr>
          <w:rFonts w:cs="David" w:hint="cs"/>
          <w:rtl/>
        </w:rPr>
        <w:t xml:space="preserve">יקבע בצוואה כיצד יחולק החלק שאיבד הנהנה בעקבות הפעלת תניית הסילוקין. </w:t>
      </w:r>
      <w:r w:rsidR="00A61F08">
        <w:rPr>
          <w:rFonts w:cs="David" w:hint="cs"/>
          <w:rtl/>
        </w:rPr>
        <w:t>דרישה זו היא כאמור תנאי לתוקפה של תניית הסילוקין וההצדקה לדרישה נעוצה בצורך לוודא כי תניית הסילוקין אינה אך איום סרק</w:t>
      </w:r>
      <w:r w:rsidR="0039213A">
        <w:rPr>
          <w:rFonts w:cs="David" w:hint="cs"/>
          <w:rtl/>
        </w:rPr>
        <w:t>,</w:t>
      </w:r>
      <w:r w:rsidR="00A61F08">
        <w:rPr>
          <w:rFonts w:cs="David" w:hint="cs"/>
          <w:rtl/>
        </w:rPr>
        <w:t xml:space="preserve"> שכל כוונתו להרתיע את הנהנים</w:t>
      </w:r>
      <w:r w:rsidR="0039213A">
        <w:rPr>
          <w:rFonts w:cs="David" w:hint="cs"/>
          <w:rtl/>
        </w:rPr>
        <w:t>,</w:t>
      </w:r>
      <w:r w:rsidR="00A61F08">
        <w:rPr>
          <w:rFonts w:cs="David" w:hint="cs"/>
          <w:rtl/>
        </w:rPr>
        <w:t xml:space="preserve"> אלא נובעת מכוונה אמיתית לסלק את אחד </w:t>
      </w:r>
      <w:r w:rsidR="00B52272">
        <w:rPr>
          <w:rFonts w:cs="David" w:hint="cs"/>
          <w:rtl/>
        </w:rPr>
        <w:t>הנהנים</w:t>
      </w:r>
      <w:r w:rsidR="00A61F08">
        <w:rPr>
          <w:rFonts w:cs="David" w:hint="cs"/>
          <w:rtl/>
        </w:rPr>
        <w:t xml:space="preserve"> ולחלק את חלקו בין הנותרים.</w:t>
      </w:r>
      <w:r>
        <w:rPr>
          <w:rStyle w:val="a3"/>
          <w:rtl/>
        </w:rPr>
        <w:footnoteReference w:id="14"/>
      </w:r>
      <w:r w:rsidR="00A61F08">
        <w:rPr>
          <w:rFonts w:cs="David" w:hint="cs"/>
          <w:rtl/>
        </w:rPr>
        <w:t xml:space="preserve"> דרישות כאלו ודומות</w:t>
      </w:r>
      <w:r w:rsidR="0039213A">
        <w:rPr>
          <w:rFonts w:cs="David" w:hint="cs"/>
          <w:rtl/>
        </w:rPr>
        <w:t>יהן</w:t>
      </w:r>
      <w:r w:rsidR="00A61F08">
        <w:rPr>
          <w:rFonts w:cs="David" w:hint="cs"/>
          <w:rtl/>
        </w:rPr>
        <w:t xml:space="preserve"> משקפות מגבלות המוטלות על זכותו של </w:t>
      </w:r>
      <w:r w:rsidR="00B52272">
        <w:rPr>
          <w:rFonts w:cs="David" w:hint="cs"/>
          <w:rtl/>
        </w:rPr>
        <w:t>המצווה</w:t>
      </w:r>
      <w:r w:rsidR="00A61F08">
        <w:rPr>
          <w:rFonts w:cs="David" w:hint="cs"/>
          <w:rtl/>
        </w:rPr>
        <w:t xml:space="preserve"> לצוות כרצונו </w:t>
      </w:r>
      <w:r w:rsidR="00CC3AAC">
        <w:rPr>
          <w:rFonts w:cs="David" w:hint="cs"/>
          <w:rtl/>
        </w:rPr>
        <w:t xml:space="preserve">מתוך הצורך להגן, אם כי באופן מוגבל, על האפשרות של הנהנה להתנגד לצוואה ללא שיפסיד את חלקו על פיה. </w:t>
      </w:r>
    </w:p>
    <w:p w14:paraId="54625B69" w14:textId="77777777" w:rsidR="00C30DE0" w:rsidRDefault="00CE7BBB" w:rsidP="00782B9A">
      <w:pPr>
        <w:pStyle w:val="filenumber0"/>
        <w:bidi/>
        <w:spacing w:beforeAutospacing="0" w:after="0" w:afterAutospacing="0" w:line="360" w:lineRule="auto"/>
        <w:ind w:firstLine="360"/>
        <w:jc w:val="both"/>
        <w:rPr>
          <w:rFonts w:cs="David"/>
        </w:rPr>
      </w:pPr>
      <w:r w:rsidRPr="00C30DE0">
        <w:rPr>
          <w:rFonts w:cs="David" w:hint="cs"/>
          <w:b/>
          <w:bCs/>
          <w:rtl/>
        </w:rPr>
        <w:t>"מודל התוקף הבלתי מסויג"</w:t>
      </w:r>
      <w:r w:rsidRPr="00C30DE0">
        <w:rPr>
          <w:rFonts w:cs="David" w:hint="cs"/>
          <w:rtl/>
        </w:rPr>
        <w:t xml:space="preserve"> </w:t>
      </w:r>
      <w:r w:rsidRPr="00C30DE0">
        <w:rPr>
          <w:rFonts w:cs="David"/>
          <w:rtl/>
        </w:rPr>
        <w:t>–</w:t>
      </w:r>
      <w:r w:rsidRPr="00C30DE0">
        <w:rPr>
          <w:rFonts w:cs="David" w:hint="cs"/>
          <w:rtl/>
        </w:rPr>
        <w:t xml:space="preserve"> בהתאם </w:t>
      </w:r>
      <w:r w:rsidRPr="002537B1">
        <w:rPr>
          <w:rFonts w:cs="David" w:hint="cs"/>
          <w:rtl/>
        </w:rPr>
        <w:t>למודל זה תניית סילוקין שנקבעה בצוואה היא ברת תוקף מלא וזאת ללא הכפפה לדרישות צורניות כלשהן, ובהתעלם מתוכנה של התנייה או מהתנהגותו של הנהנה אשר פנה לערכאות.</w:t>
      </w:r>
      <w:r w:rsidR="0039213A">
        <w:rPr>
          <w:rFonts w:cs="David" w:hint="cs"/>
          <w:rtl/>
        </w:rPr>
        <w:t xml:space="preserve"> המלומד</w:t>
      </w:r>
      <w:r w:rsidR="00782B9A" w:rsidRPr="002537B1">
        <w:rPr>
          <w:rFonts w:cs="David" w:hint="cs"/>
          <w:rtl/>
        </w:rPr>
        <w:t xml:space="preserve"> </w:t>
      </w:r>
      <w:r w:rsidR="00782B9A" w:rsidRPr="002537B1">
        <w:rPr>
          <w:rFonts w:cs="David" w:hint="cs"/>
        </w:rPr>
        <w:t>B</w:t>
      </w:r>
      <w:r w:rsidR="00782B9A" w:rsidRPr="002537B1">
        <w:rPr>
          <w:rFonts w:cs="David"/>
        </w:rPr>
        <w:t>egleiter</w:t>
      </w:r>
      <w:r w:rsidR="00776C0D" w:rsidRPr="002537B1">
        <w:rPr>
          <w:rFonts w:cs="David" w:hint="cs"/>
          <w:rtl/>
        </w:rPr>
        <w:t xml:space="preserve"> </w:t>
      </w:r>
      <w:r w:rsidR="00782B9A" w:rsidRPr="002537B1">
        <w:rPr>
          <w:rFonts w:cs="David" w:hint="cs"/>
          <w:rtl/>
        </w:rPr>
        <w:t>מציע שלוש הצדקות עיקריות למודל זה</w:t>
      </w:r>
      <w:r w:rsidR="00776C0D" w:rsidRPr="002537B1">
        <w:rPr>
          <w:rFonts w:cs="David" w:hint="cs"/>
          <w:rtl/>
        </w:rPr>
        <w:t xml:space="preserve">: </w:t>
      </w:r>
      <w:r w:rsidR="00782B9A" w:rsidRPr="002537B1">
        <w:rPr>
          <w:rFonts w:cs="David" w:hint="cs"/>
          <w:rtl/>
        </w:rPr>
        <w:t>הראשונה</w:t>
      </w:r>
      <w:r w:rsidR="00776C0D" w:rsidRPr="002537B1">
        <w:rPr>
          <w:rFonts w:cs="David" w:hint="cs"/>
          <w:rtl/>
        </w:rPr>
        <w:t xml:space="preserve">, מתן תוקף בלתי מסויג לתנייה </w:t>
      </w:r>
      <w:r w:rsidR="00782B9A" w:rsidRPr="002537B1">
        <w:rPr>
          <w:rFonts w:cs="David" w:hint="cs"/>
          <w:rtl/>
        </w:rPr>
        <w:t>מגשים באופן מרבי את</w:t>
      </w:r>
      <w:r w:rsidR="00776C0D" w:rsidRPr="002537B1">
        <w:rPr>
          <w:rFonts w:cs="David" w:hint="cs"/>
          <w:rtl/>
        </w:rPr>
        <w:t xml:space="preserve"> רצון המצווה. </w:t>
      </w:r>
      <w:r w:rsidR="00782B9A" w:rsidRPr="002537B1">
        <w:rPr>
          <w:rFonts w:cs="David" w:hint="cs"/>
          <w:rtl/>
        </w:rPr>
        <w:t>השנייה</w:t>
      </w:r>
      <w:r w:rsidR="00776C0D" w:rsidRPr="002537B1">
        <w:rPr>
          <w:rFonts w:cs="David" w:hint="cs"/>
          <w:rtl/>
        </w:rPr>
        <w:t xml:space="preserve">, מודל זה </w:t>
      </w:r>
      <w:r w:rsidR="00782B9A" w:rsidRPr="002537B1">
        <w:rPr>
          <w:rFonts w:cs="David" w:hint="cs"/>
          <w:rtl/>
        </w:rPr>
        <w:t xml:space="preserve">משיג </w:t>
      </w:r>
      <w:r w:rsidR="00776C0D" w:rsidRPr="002537B1">
        <w:rPr>
          <w:rFonts w:cs="David" w:hint="cs"/>
          <w:rtl/>
        </w:rPr>
        <w:t xml:space="preserve">חיסכון בעלויות, הן על-ידי צמצום ההתדיינות והפחתת העומס על בתי המשפט, </w:t>
      </w:r>
      <w:r w:rsidR="0039213A">
        <w:rPr>
          <w:rFonts w:cs="David" w:hint="cs"/>
          <w:rtl/>
        </w:rPr>
        <w:t>ו</w:t>
      </w:r>
      <w:r w:rsidR="00776C0D" w:rsidRPr="002537B1">
        <w:rPr>
          <w:rFonts w:cs="David" w:hint="cs"/>
          <w:rtl/>
        </w:rPr>
        <w:t xml:space="preserve">הן בכך שהוא חוסך עלויות ניהול ההליך (עלויות שעשויות בסופו של יום להפחית ממסת הנכסים בעיזבון). </w:t>
      </w:r>
      <w:r w:rsidR="00782B9A" w:rsidRPr="002537B1">
        <w:rPr>
          <w:rFonts w:cs="David" w:hint="cs"/>
          <w:rtl/>
        </w:rPr>
        <w:t>השלישית</w:t>
      </w:r>
      <w:r w:rsidR="00776C0D" w:rsidRPr="002537B1">
        <w:rPr>
          <w:rFonts w:cs="David" w:hint="cs"/>
          <w:rtl/>
        </w:rPr>
        <w:t xml:space="preserve">, מניעת ההתדיינות אף מקדמת את השמירה על פרטיות התא המשפחתי, </w:t>
      </w:r>
      <w:r w:rsidR="00782B9A" w:rsidRPr="002537B1">
        <w:rPr>
          <w:rFonts w:cs="David" w:hint="cs"/>
          <w:rtl/>
        </w:rPr>
        <w:t>ומונעת דיון פומבי בסכסוכים משפחתיים.</w:t>
      </w:r>
      <w:r>
        <w:rPr>
          <w:rStyle w:val="a3"/>
          <w:rtl/>
        </w:rPr>
        <w:footnoteReference w:id="15"/>
      </w:r>
      <w:r w:rsidRPr="002537B1">
        <w:rPr>
          <w:rFonts w:cs="David" w:hint="cs"/>
          <w:rtl/>
        </w:rPr>
        <w:t xml:space="preserve"> יש לשים לב, כי במשטר מש</w:t>
      </w:r>
      <w:r w:rsidRPr="00C30DE0">
        <w:rPr>
          <w:rFonts w:cs="David" w:hint="cs"/>
          <w:rtl/>
        </w:rPr>
        <w:t xml:space="preserve">פטי המאמץ מודל זה, מוענקת עדיפות מוחלטת לרצון המצווה על פני זכותו של הנהנה לפנות לערכאות. לכן, פנייה של הנהנה לערכאות תגרום לאיבוד חלקו בצוואה. עם זאת, גם במשטר משפטי כזה, אין מניעה שנהנה ייטול על עצמו את הסיכון, יפנה לערכאות כנגד הצוואה ואם יצליח להשיג תוצאה משפטית של ביטול הצוואה מדעיקרא </w:t>
      </w:r>
      <w:r w:rsidRPr="00C30DE0">
        <w:rPr>
          <w:rFonts w:cs="David"/>
          <w:rtl/>
        </w:rPr>
        <w:t>–</w:t>
      </w:r>
      <w:r w:rsidRPr="00C30DE0">
        <w:rPr>
          <w:rFonts w:cs="David" w:hint="cs"/>
          <w:rtl/>
        </w:rPr>
        <w:t xml:space="preserve"> כגון בטענה שהצוואה מזויפת או ש</w:t>
      </w:r>
      <w:r w:rsidRPr="00C30DE0">
        <w:rPr>
          <w:rFonts w:cs="David"/>
          <w:rtl/>
        </w:rPr>
        <w:t xml:space="preserve">נעשתה </w:t>
      </w:r>
      <w:r w:rsidRPr="00C30DE0">
        <w:rPr>
          <w:rFonts w:cs="David" w:hint="cs"/>
          <w:rtl/>
        </w:rPr>
        <w:t xml:space="preserve">כולה </w:t>
      </w:r>
      <w:r w:rsidRPr="00C30DE0">
        <w:rPr>
          <w:rFonts w:cs="David"/>
          <w:rtl/>
        </w:rPr>
        <w:t>מחמת אונס, איום, השפעה בלתי הוגנת, תחבולה או תרמית –</w:t>
      </w:r>
      <w:r w:rsidRPr="00C30DE0">
        <w:rPr>
          <w:rFonts w:cs="David" w:hint="cs"/>
          <w:rtl/>
        </w:rPr>
        <w:t xml:space="preserve"> תתבטל ביחד עמה גם תניית הסילוקין.</w:t>
      </w:r>
    </w:p>
    <w:p w14:paraId="7585AFF1" w14:textId="28D5E429" w:rsidR="00BD521B" w:rsidRPr="003731DA" w:rsidRDefault="00CE7BBB" w:rsidP="00F9270E">
      <w:pPr>
        <w:pStyle w:val="filenumber0"/>
        <w:bidi/>
        <w:spacing w:beforeAutospacing="0" w:after="0" w:afterAutospacing="0" w:line="360" w:lineRule="auto"/>
        <w:ind w:firstLine="360"/>
        <w:jc w:val="both"/>
        <w:rPr>
          <w:rFonts w:cs="David"/>
          <w:rtl/>
        </w:rPr>
      </w:pPr>
      <w:r w:rsidRPr="00077E70">
        <w:rPr>
          <w:rFonts w:cs="David" w:hint="cs"/>
          <w:b/>
          <w:bCs/>
          <w:rtl/>
        </w:rPr>
        <w:t xml:space="preserve">"מודל </w:t>
      </w:r>
      <w:r w:rsidR="00C30DE0">
        <w:rPr>
          <w:rFonts w:cs="David" w:hint="cs"/>
          <w:b/>
          <w:bCs/>
          <w:rtl/>
        </w:rPr>
        <w:t>ההפעלה המותנית</w:t>
      </w:r>
      <w:r w:rsidRPr="00077E70">
        <w:rPr>
          <w:rFonts w:cs="David" w:hint="cs"/>
          <w:b/>
          <w:bCs/>
          <w:rtl/>
        </w:rPr>
        <w:t>"</w:t>
      </w:r>
      <w:r w:rsidRPr="003731DA">
        <w:rPr>
          <w:rFonts w:cs="David" w:hint="cs"/>
          <w:rtl/>
        </w:rPr>
        <w:t xml:space="preserve"> </w:t>
      </w:r>
      <w:r w:rsidR="003111F2">
        <w:rPr>
          <w:rFonts w:cs="David"/>
          <w:rtl/>
        </w:rPr>
        <w:t>–</w:t>
      </w:r>
      <w:r w:rsidRPr="003731DA">
        <w:rPr>
          <w:rFonts w:cs="David" w:hint="cs"/>
          <w:rtl/>
        </w:rPr>
        <w:t xml:space="preserve"> </w:t>
      </w:r>
      <w:r w:rsidR="003111F2">
        <w:rPr>
          <w:rFonts w:cs="David" w:hint="cs"/>
          <w:rtl/>
        </w:rPr>
        <w:t>בהתאם ל</w:t>
      </w:r>
      <w:r w:rsidR="00BA65A1">
        <w:rPr>
          <w:rFonts w:cs="David" w:hint="cs"/>
          <w:rtl/>
        </w:rPr>
        <w:t xml:space="preserve">מודל </w:t>
      </w:r>
      <w:r w:rsidR="003111F2">
        <w:rPr>
          <w:rFonts w:cs="David" w:hint="cs"/>
          <w:rtl/>
        </w:rPr>
        <w:t xml:space="preserve">זה </w:t>
      </w:r>
      <w:r w:rsidRPr="003731DA">
        <w:rPr>
          <w:rFonts w:cs="David" w:hint="cs"/>
          <w:rtl/>
        </w:rPr>
        <w:t xml:space="preserve">תניית סילוקין </w:t>
      </w:r>
      <w:r w:rsidR="003111F2">
        <w:rPr>
          <w:rFonts w:cs="David" w:hint="cs"/>
          <w:rtl/>
        </w:rPr>
        <w:t xml:space="preserve">היא ברת תוקף </w:t>
      </w:r>
      <w:r w:rsidRPr="003731DA">
        <w:rPr>
          <w:rFonts w:cs="David" w:hint="cs"/>
          <w:rtl/>
        </w:rPr>
        <w:t>אך</w:t>
      </w:r>
      <w:r w:rsidR="00BA65A1">
        <w:rPr>
          <w:rFonts w:cs="David" w:hint="cs"/>
          <w:rtl/>
        </w:rPr>
        <w:t xml:space="preserve"> </w:t>
      </w:r>
      <w:r w:rsidR="00CC3AAC">
        <w:rPr>
          <w:rFonts w:cs="David" w:hint="cs"/>
          <w:rtl/>
        </w:rPr>
        <w:t>האפשרות להפעילה כפופה</w:t>
      </w:r>
      <w:r w:rsidR="00CC3AAC" w:rsidRPr="002537B1">
        <w:rPr>
          <w:rFonts w:cs="David" w:hint="cs"/>
          <w:rtl/>
        </w:rPr>
        <w:t xml:space="preserve">, במקרה </w:t>
      </w:r>
      <w:r w:rsidR="00BA65A1" w:rsidRPr="002537B1">
        <w:rPr>
          <w:rFonts w:cs="David" w:hint="cs"/>
          <w:rtl/>
        </w:rPr>
        <w:t>מסוים</w:t>
      </w:r>
      <w:r w:rsidR="00CC3AAC" w:rsidRPr="002537B1">
        <w:rPr>
          <w:rFonts w:cs="David" w:hint="cs"/>
          <w:rtl/>
        </w:rPr>
        <w:t>,</w:t>
      </w:r>
      <w:r w:rsidR="00BA65A1" w:rsidRPr="002537B1">
        <w:rPr>
          <w:rFonts w:cs="David" w:hint="cs"/>
          <w:rtl/>
        </w:rPr>
        <w:t xml:space="preserve"> </w:t>
      </w:r>
      <w:r w:rsidR="00CC3AAC" w:rsidRPr="002537B1">
        <w:rPr>
          <w:rFonts w:cs="David" w:hint="cs"/>
          <w:rtl/>
        </w:rPr>
        <w:t>ל</w:t>
      </w:r>
      <w:r w:rsidR="00BA65A1" w:rsidRPr="002537B1">
        <w:rPr>
          <w:rFonts w:cs="David" w:hint="cs"/>
          <w:rtl/>
        </w:rPr>
        <w:t>התנהלותו של</w:t>
      </w:r>
      <w:r w:rsidR="00975B13" w:rsidRPr="002537B1">
        <w:rPr>
          <w:rFonts w:cs="David" w:hint="cs"/>
          <w:rtl/>
        </w:rPr>
        <w:t xml:space="preserve"> ה</w:t>
      </w:r>
      <w:r w:rsidR="00CC3AAC" w:rsidRPr="002537B1">
        <w:rPr>
          <w:rFonts w:cs="David" w:hint="cs"/>
          <w:rtl/>
        </w:rPr>
        <w:t>נהנה הפונה</w:t>
      </w:r>
      <w:r w:rsidR="00975B13" w:rsidRPr="002537B1">
        <w:rPr>
          <w:rFonts w:cs="David" w:hint="cs"/>
          <w:rtl/>
        </w:rPr>
        <w:t xml:space="preserve"> לערכאות</w:t>
      </w:r>
      <w:r w:rsidR="00CC3AAC" w:rsidRPr="002537B1">
        <w:rPr>
          <w:rFonts w:cs="David" w:hint="cs"/>
          <w:rtl/>
        </w:rPr>
        <w:t xml:space="preserve"> כנגד הצוואה</w:t>
      </w:r>
      <w:r w:rsidR="00975B13" w:rsidRPr="002537B1">
        <w:rPr>
          <w:rFonts w:cs="David" w:hint="cs"/>
          <w:rtl/>
        </w:rPr>
        <w:t>.</w:t>
      </w:r>
      <w:r w:rsidR="00E0201C" w:rsidRPr="002537B1">
        <w:rPr>
          <w:rFonts w:cs="David" w:hint="cs"/>
          <w:rtl/>
        </w:rPr>
        <w:t xml:space="preserve"> </w:t>
      </w:r>
      <w:r w:rsidR="00522D20" w:rsidRPr="002537B1">
        <w:rPr>
          <w:rFonts w:cs="David" w:hint="cs"/>
          <w:rtl/>
        </w:rPr>
        <w:t>כך</w:t>
      </w:r>
      <w:r w:rsidR="0039213A">
        <w:rPr>
          <w:rFonts w:cs="David" w:hint="cs"/>
          <w:rtl/>
        </w:rPr>
        <w:t>,</w:t>
      </w:r>
      <w:r w:rsidR="00522D20" w:rsidRPr="002537B1">
        <w:rPr>
          <w:rFonts w:cs="David" w:hint="cs"/>
          <w:rtl/>
        </w:rPr>
        <w:t xml:space="preserve"> למשל, נקבע בשיטות מסוימות, כי אם תקף הנהנה את הצוואה בעילה סבירה ובתום לב לא תופעל כנגדו תניית הסילוקין. </w:t>
      </w:r>
      <w:r w:rsidR="00F9270E" w:rsidRPr="002537B1">
        <w:rPr>
          <w:rFonts w:cs="David" w:hint="cs"/>
          <w:rtl/>
        </w:rPr>
        <w:t xml:space="preserve">בספרות ניתן למצוא </w:t>
      </w:r>
      <w:r w:rsidR="00776C0D" w:rsidRPr="002537B1">
        <w:rPr>
          <w:rFonts w:cs="David" w:hint="cs"/>
          <w:rtl/>
        </w:rPr>
        <w:t>ארבע הצדקות עיקריות</w:t>
      </w:r>
      <w:r w:rsidR="00F9270E" w:rsidRPr="002537B1">
        <w:rPr>
          <w:rFonts w:cs="David" w:hint="cs"/>
          <w:rtl/>
        </w:rPr>
        <w:t xml:space="preserve"> למודל זה</w:t>
      </w:r>
      <w:r w:rsidR="00776C0D" w:rsidRPr="002537B1">
        <w:rPr>
          <w:rFonts w:cs="David" w:hint="cs"/>
          <w:rtl/>
        </w:rPr>
        <w:t xml:space="preserve">: </w:t>
      </w:r>
      <w:r w:rsidR="00F9270E" w:rsidRPr="002537B1">
        <w:rPr>
          <w:rFonts w:cs="David" w:hint="cs"/>
          <w:rtl/>
        </w:rPr>
        <w:t>הראשונה</w:t>
      </w:r>
      <w:r w:rsidR="00776C0D" w:rsidRPr="002537B1">
        <w:rPr>
          <w:rFonts w:cs="David" w:hint="cs"/>
          <w:rtl/>
        </w:rPr>
        <w:t xml:space="preserve">, נוכח העובדה שמתפקידו של בית המשפט המוסמך לבחון אם צוואה מסוימת תקפה (או שמא נפלו בה פגמים המצדיקים את ביטולה), מניעת האפשרות של בית המשפט לקבל מידע מלא ולבחון את הצוואה פוגעת בתקנת הציבור. </w:t>
      </w:r>
      <w:r w:rsidR="00F9270E" w:rsidRPr="002537B1">
        <w:rPr>
          <w:rFonts w:cs="David" w:hint="cs"/>
          <w:rtl/>
        </w:rPr>
        <w:t>השנייה</w:t>
      </w:r>
      <w:r w:rsidR="00776C0D" w:rsidRPr="002537B1">
        <w:rPr>
          <w:rFonts w:cs="David" w:hint="cs"/>
          <w:rtl/>
        </w:rPr>
        <w:t>, האפשרות להימנע מהפעלת תנייה כאשר הנהנה פועל בתום</w:t>
      </w:r>
      <w:r w:rsidR="0039213A">
        <w:rPr>
          <w:rFonts w:cs="David" w:hint="cs"/>
          <w:rtl/>
        </w:rPr>
        <w:t xml:space="preserve"> </w:t>
      </w:r>
      <w:r w:rsidR="00776C0D" w:rsidRPr="002537B1">
        <w:rPr>
          <w:rFonts w:cs="David" w:hint="cs"/>
          <w:rtl/>
        </w:rPr>
        <w:t xml:space="preserve">לב ובעילה סבירה הכרחית לשם הגנה על זכותו לפנות לערכאות. </w:t>
      </w:r>
      <w:r w:rsidR="00F9270E" w:rsidRPr="002537B1">
        <w:rPr>
          <w:rFonts w:cs="David" w:hint="cs"/>
          <w:rtl/>
        </w:rPr>
        <w:t>ה</w:t>
      </w:r>
      <w:r w:rsidR="00776C0D" w:rsidRPr="002537B1">
        <w:rPr>
          <w:rFonts w:cs="David" w:hint="cs"/>
          <w:rtl/>
        </w:rPr>
        <w:t>שלישית, הבאת הצוואה לבחינה בערכאות עשויה</w:t>
      </w:r>
      <w:r w:rsidR="0039213A">
        <w:rPr>
          <w:rFonts w:cs="David" w:hint="cs"/>
          <w:rtl/>
        </w:rPr>
        <w:t>,</w:t>
      </w:r>
      <w:r w:rsidR="00776C0D" w:rsidRPr="002537B1">
        <w:rPr>
          <w:rFonts w:cs="David" w:hint="cs"/>
          <w:rtl/>
        </w:rPr>
        <w:t xml:space="preserve"> במקרים מסוימים</w:t>
      </w:r>
      <w:r w:rsidR="0039213A">
        <w:rPr>
          <w:rFonts w:cs="David" w:hint="cs"/>
          <w:rtl/>
        </w:rPr>
        <w:t>,</w:t>
      </w:r>
      <w:r w:rsidR="00776C0D" w:rsidRPr="002537B1">
        <w:rPr>
          <w:rFonts w:cs="David" w:hint="cs"/>
          <w:rtl/>
        </w:rPr>
        <w:t xml:space="preserve"> לסייע במימוש רצונו האמיתי של המצווה. </w:t>
      </w:r>
      <w:r w:rsidR="00F9270E" w:rsidRPr="002537B1">
        <w:rPr>
          <w:rFonts w:cs="David" w:hint="cs"/>
          <w:rtl/>
        </w:rPr>
        <w:t>ה</w:t>
      </w:r>
      <w:r w:rsidR="00776C0D" w:rsidRPr="002537B1">
        <w:rPr>
          <w:rFonts w:cs="David" w:hint="cs"/>
          <w:rtl/>
        </w:rPr>
        <w:t xml:space="preserve">רביעית, </w:t>
      </w:r>
      <w:r w:rsidR="001244A5" w:rsidRPr="002537B1">
        <w:rPr>
          <w:rFonts w:cs="David" w:hint="cs"/>
          <w:rtl/>
        </w:rPr>
        <w:t xml:space="preserve">הימנעות מהפעלת התנייה מאפשרת להגן על נהנים המצויים בעמדת נחיתות, כגון יתומים ואלמנות, </w:t>
      </w:r>
      <w:r w:rsidR="00F9270E" w:rsidRPr="002537B1">
        <w:rPr>
          <w:rFonts w:cs="David" w:hint="cs"/>
          <w:rtl/>
        </w:rPr>
        <w:t>ש</w:t>
      </w:r>
      <w:r w:rsidR="001244A5" w:rsidRPr="002537B1">
        <w:rPr>
          <w:rFonts w:cs="David" w:hint="cs"/>
          <w:rtl/>
        </w:rPr>
        <w:t>אינם יכולים להסתכן באיבוד חלקם בעזבון</w:t>
      </w:r>
      <w:r w:rsidR="00776C0D" w:rsidRPr="002537B1">
        <w:rPr>
          <w:rFonts w:cs="David" w:hint="cs"/>
          <w:rtl/>
        </w:rPr>
        <w:t>.</w:t>
      </w:r>
      <w:r>
        <w:rPr>
          <w:rStyle w:val="a3"/>
          <w:rtl/>
        </w:rPr>
        <w:footnoteReference w:id="16"/>
      </w:r>
      <w:r w:rsidR="00776C0D" w:rsidRPr="002537B1">
        <w:rPr>
          <w:rFonts w:cs="David" w:hint="cs"/>
          <w:rtl/>
        </w:rPr>
        <w:t xml:space="preserve"> </w:t>
      </w:r>
      <w:r w:rsidR="00E0201C" w:rsidRPr="002537B1">
        <w:rPr>
          <w:rFonts w:cs="David" w:hint="cs"/>
          <w:rtl/>
        </w:rPr>
        <w:t>אמות המידה באמצעותן</w:t>
      </w:r>
      <w:r w:rsidR="00E0201C">
        <w:rPr>
          <w:rFonts w:cs="David" w:hint="cs"/>
          <w:rtl/>
        </w:rPr>
        <w:t xml:space="preserve"> תיבחן התנהגותו של הנהנה עשויות להיות מעוגנות בדבר חקיקה או ל</w:t>
      </w:r>
      <w:r w:rsidR="00522D20">
        <w:rPr>
          <w:rFonts w:cs="David" w:hint="cs"/>
          <w:rtl/>
        </w:rPr>
        <w:t>היקבע</w:t>
      </w:r>
      <w:r w:rsidR="00E0201C">
        <w:rPr>
          <w:rFonts w:cs="David" w:hint="cs"/>
          <w:rtl/>
        </w:rPr>
        <w:t xml:space="preserve"> בפסיקת בתי המשפט.</w:t>
      </w:r>
      <w:r w:rsidRPr="003731DA">
        <w:rPr>
          <w:rFonts w:cs="David" w:hint="cs"/>
          <w:rtl/>
        </w:rPr>
        <w:t xml:space="preserve"> </w:t>
      </w:r>
      <w:r w:rsidR="00BA65A1">
        <w:rPr>
          <w:rFonts w:cs="David" w:hint="cs"/>
          <w:rtl/>
        </w:rPr>
        <w:t xml:space="preserve">    </w:t>
      </w:r>
    </w:p>
    <w:p w14:paraId="4D060A0D" w14:textId="77777777" w:rsidR="00995CDB" w:rsidRPr="00ED4D4B" w:rsidRDefault="00995CDB" w:rsidP="00292BA6">
      <w:pPr>
        <w:spacing w:line="360" w:lineRule="auto"/>
        <w:jc w:val="both"/>
        <w:rPr>
          <w:rFonts w:ascii="David" w:hAnsi="David"/>
          <w:sz w:val="24"/>
          <w:szCs w:val="24"/>
          <w:rtl/>
        </w:rPr>
      </w:pPr>
    </w:p>
    <w:p w14:paraId="7BBC851D" w14:textId="77777777" w:rsidR="0034790B" w:rsidRPr="00BE52DC" w:rsidRDefault="00CE7BBB" w:rsidP="0034790B">
      <w:pPr>
        <w:pStyle w:val="filenumber0"/>
        <w:bidi/>
        <w:spacing w:beforeAutospacing="0" w:after="0" w:afterAutospacing="0" w:line="360" w:lineRule="auto"/>
        <w:jc w:val="both"/>
        <w:rPr>
          <w:rFonts w:cs="David"/>
          <w:b/>
          <w:bCs/>
          <w:rtl/>
        </w:rPr>
      </w:pPr>
      <w:r w:rsidRPr="00BE52DC">
        <w:rPr>
          <w:rFonts w:cs="David" w:hint="eastAsia"/>
          <w:b/>
          <w:bCs/>
          <w:rtl/>
        </w:rPr>
        <w:t>ג</w:t>
      </w:r>
      <w:r w:rsidRPr="00BE52DC">
        <w:rPr>
          <w:rFonts w:cs="David"/>
          <w:b/>
          <w:bCs/>
          <w:rtl/>
        </w:rPr>
        <w:t xml:space="preserve">. תוקפן של </w:t>
      </w:r>
      <w:r w:rsidRPr="00BE52DC">
        <w:rPr>
          <w:rFonts w:cs="David" w:hint="eastAsia"/>
          <w:b/>
          <w:bCs/>
          <w:rtl/>
        </w:rPr>
        <w:t>תניות</w:t>
      </w:r>
      <w:r w:rsidRPr="00BE52DC">
        <w:rPr>
          <w:rFonts w:cs="David"/>
          <w:b/>
          <w:bCs/>
          <w:rtl/>
        </w:rPr>
        <w:t xml:space="preserve"> סילוקין במשפט המשווה</w:t>
      </w:r>
    </w:p>
    <w:p w14:paraId="0A4B9510" w14:textId="77777777" w:rsidR="00C30DE0" w:rsidRDefault="00C30DE0" w:rsidP="008D47F6">
      <w:pPr>
        <w:pStyle w:val="filenumber0"/>
        <w:bidi/>
        <w:spacing w:beforeAutospacing="0" w:after="0" w:afterAutospacing="0" w:line="360" w:lineRule="auto"/>
        <w:jc w:val="both"/>
        <w:rPr>
          <w:rFonts w:ascii="David" w:hAnsi="David"/>
          <w:rtl/>
        </w:rPr>
      </w:pPr>
    </w:p>
    <w:p w14:paraId="10A22D1B" w14:textId="26B693DE" w:rsidR="008D47F6" w:rsidRDefault="00CE7BBB" w:rsidP="00C30DE0">
      <w:pPr>
        <w:pStyle w:val="filenumber0"/>
        <w:bidi/>
        <w:spacing w:beforeAutospacing="0" w:after="0" w:afterAutospacing="0" w:line="360" w:lineRule="auto"/>
        <w:jc w:val="both"/>
        <w:rPr>
          <w:rFonts w:cs="David"/>
          <w:b/>
          <w:bCs/>
          <w:u w:val="single"/>
          <w:rtl/>
        </w:rPr>
      </w:pPr>
      <w:r w:rsidRPr="00C30DE0">
        <w:rPr>
          <w:rFonts w:ascii="David" w:hAnsi="David" w:cs="David" w:hint="cs"/>
          <w:rtl/>
        </w:rPr>
        <w:t xml:space="preserve">בחקיקה או בפסיקה </w:t>
      </w:r>
      <w:r w:rsidR="0039213A">
        <w:rPr>
          <w:rFonts w:ascii="David" w:hAnsi="David" w:cs="David" w:hint="cs"/>
          <w:rtl/>
        </w:rPr>
        <w:t xml:space="preserve">של מדינות שונות נקבעו </w:t>
      </w:r>
      <w:r w:rsidRPr="00C30DE0">
        <w:rPr>
          <w:rFonts w:ascii="David" w:hAnsi="David" w:cs="David" w:hint="cs"/>
          <w:rtl/>
        </w:rPr>
        <w:t>הסדרים שונים המבטאים איזו</w:t>
      </w:r>
      <w:r>
        <w:rPr>
          <w:rFonts w:ascii="David" w:hAnsi="David" w:cs="David" w:hint="cs"/>
          <w:rtl/>
        </w:rPr>
        <w:t>נים</w:t>
      </w:r>
      <w:r w:rsidRPr="00C30DE0">
        <w:rPr>
          <w:rFonts w:ascii="David" w:hAnsi="David" w:cs="David" w:hint="cs"/>
          <w:rtl/>
        </w:rPr>
        <w:t xml:space="preserve"> שונים בין זכותו של המצווה לקבוע תניית סילוקין לבין זכותו של נהנה, ולעיתים אדם שאינו נהנה, לפנות לערכאות כנגד הצוואה. נסקור להלן את </w:t>
      </w:r>
      <w:r>
        <w:rPr>
          <w:rFonts w:ascii="David" w:hAnsi="David" w:cs="David" w:hint="cs"/>
          <w:rtl/>
        </w:rPr>
        <w:t>ה</w:t>
      </w:r>
      <w:r w:rsidRPr="00C30DE0">
        <w:rPr>
          <w:rFonts w:ascii="David" w:hAnsi="David" w:cs="David" w:hint="cs"/>
          <w:rtl/>
        </w:rPr>
        <w:t>הסדרים במדינות שונות בארצות הברית ובקנדה לאור ארבעת המודלים שהוצגו לעיל.</w:t>
      </w:r>
    </w:p>
    <w:p w14:paraId="455383FD" w14:textId="77777777" w:rsidR="00D16FD2" w:rsidRPr="00C30DE0" w:rsidRDefault="00D16FD2" w:rsidP="00D16FD2">
      <w:pPr>
        <w:pStyle w:val="filenumber0"/>
        <w:bidi/>
        <w:spacing w:beforeAutospacing="0" w:after="0" w:afterAutospacing="0" w:line="360" w:lineRule="auto"/>
        <w:jc w:val="both"/>
        <w:rPr>
          <w:rFonts w:cs="David"/>
          <w:b/>
          <w:bCs/>
          <w:u w:val="single"/>
          <w:rtl/>
        </w:rPr>
      </w:pPr>
    </w:p>
    <w:p w14:paraId="38A91151" w14:textId="77777777" w:rsidR="00C30DE0" w:rsidRPr="00C30DE0" w:rsidRDefault="00C30DE0" w:rsidP="00C30DE0">
      <w:pPr>
        <w:pStyle w:val="filenumber0"/>
        <w:bidi/>
        <w:spacing w:beforeAutospacing="0" w:after="0" w:afterAutospacing="0" w:line="360" w:lineRule="auto"/>
        <w:jc w:val="both"/>
        <w:rPr>
          <w:rFonts w:cs="David"/>
          <w:b/>
          <w:bCs/>
          <w:u w:val="single"/>
          <w:rtl/>
        </w:rPr>
      </w:pPr>
    </w:p>
    <w:p w14:paraId="490A2638" w14:textId="77777777" w:rsidR="0034790B" w:rsidRPr="006340A2" w:rsidRDefault="00CE7BBB" w:rsidP="0034790B">
      <w:pPr>
        <w:pStyle w:val="ad"/>
        <w:numPr>
          <w:ilvl w:val="0"/>
          <w:numId w:val="11"/>
        </w:numPr>
        <w:spacing w:line="360" w:lineRule="auto"/>
        <w:jc w:val="both"/>
        <w:rPr>
          <w:b/>
          <w:bCs/>
          <w:sz w:val="24"/>
          <w:szCs w:val="24"/>
        </w:rPr>
      </w:pPr>
      <w:r w:rsidRPr="006340A2">
        <w:rPr>
          <w:rFonts w:hint="cs"/>
          <w:b/>
          <w:bCs/>
          <w:sz w:val="24"/>
          <w:szCs w:val="24"/>
          <w:rtl/>
        </w:rPr>
        <w:t>ארצות הברית</w:t>
      </w:r>
    </w:p>
    <w:p w14:paraId="25690B5C" w14:textId="77777777" w:rsidR="0034790B" w:rsidRPr="00ED4D4B" w:rsidRDefault="0034790B" w:rsidP="0034790B">
      <w:pPr>
        <w:pStyle w:val="ad"/>
        <w:spacing w:line="360" w:lineRule="auto"/>
        <w:ind w:left="360"/>
        <w:jc w:val="both"/>
        <w:rPr>
          <w:sz w:val="24"/>
          <w:szCs w:val="24"/>
        </w:rPr>
      </w:pPr>
    </w:p>
    <w:p w14:paraId="49E59A2B" w14:textId="77777777" w:rsidR="00EB4CB1" w:rsidRDefault="00CE7BBB" w:rsidP="00EB4CB1">
      <w:pPr>
        <w:spacing w:line="360" w:lineRule="auto"/>
        <w:jc w:val="both"/>
        <w:rPr>
          <w:sz w:val="24"/>
          <w:szCs w:val="24"/>
          <w:rtl/>
        </w:rPr>
      </w:pPr>
      <w:r w:rsidRPr="00ED4D4B">
        <w:rPr>
          <w:rFonts w:hint="cs"/>
          <w:sz w:val="24"/>
          <w:szCs w:val="24"/>
          <w:rtl/>
        </w:rPr>
        <w:t>הדין בארצות הברית בנוגע לתניות סילוקין שונה ממדינה למדינה.</w:t>
      </w:r>
      <w:r>
        <w:rPr>
          <w:rStyle w:val="a3"/>
          <w:sz w:val="24"/>
          <w:szCs w:val="24"/>
          <w:rtl/>
        </w:rPr>
        <w:footnoteReference w:id="17"/>
      </w:r>
      <w:r w:rsidR="004F2014">
        <w:rPr>
          <w:rFonts w:hint="cs"/>
          <w:sz w:val="24"/>
          <w:szCs w:val="24"/>
          <w:rtl/>
        </w:rPr>
        <w:t xml:space="preserve"> </w:t>
      </w:r>
      <w:r w:rsidR="0088491C">
        <w:rPr>
          <w:rFonts w:hint="cs"/>
          <w:sz w:val="24"/>
          <w:szCs w:val="24"/>
          <w:rtl/>
        </w:rPr>
        <w:t>ב</w:t>
      </w:r>
      <w:r>
        <w:rPr>
          <w:rFonts w:hint="cs"/>
          <w:sz w:val="24"/>
          <w:szCs w:val="24"/>
          <w:rtl/>
        </w:rPr>
        <w:t xml:space="preserve">מספר </w:t>
      </w:r>
      <w:r w:rsidR="0088491C">
        <w:rPr>
          <w:rFonts w:hint="cs"/>
          <w:sz w:val="24"/>
          <w:szCs w:val="24"/>
          <w:rtl/>
        </w:rPr>
        <w:t xml:space="preserve">מצומצם של </w:t>
      </w:r>
      <w:r>
        <w:rPr>
          <w:rFonts w:hint="cs"/>
          <w:sz w:val="24"/>
          <w:szCs w:val="24"/>
          <w:rtl/>
        </w:rPr>
        <w:t>מדינות בא</w:t>
      </w:r>
      <w:r w:rsidR="00B52272">
        <w:rPr>
          <w:rFonts w:hint="cs"/>
          <w:sz w:val="24"/>
          <w:szCs w:val="24"/>
          <w:rtl/>
        </w:rPr>
        <w:t>ר</w:t>
      </w:r>
      <w:r>
        <w:rPr>
          <w:rFonts w:hint="cs"/>
          <w:sz w:val="24"/>
          <w:szCs w:val="24"/>
          <w:rtl/>
        </w:rPr>
        <w:t>צות הברית</w:t>
      </w:r>
      <w:r w:rsidR="0088491C">
        <w:rPr>
          <w:rFonts w:hint="cs"/>
          <w:sz w:val="24"/>
          <w:szCs w:val="24"/>
          <w:rtl/>
        </w:rPr>
        <w:t xml:space="preserve"> </w:t>
      </w:r>
      <w:r w:rsidR="00391E2A">
        <w:rPr>
          <w:rFonts w:hint="cs"/>
          <w:sz w:val="24"/>
          <w:szCs w:val="24"/>
          <w:rtl/>
        </w:rPr>
        <w:t>החוק אינו קובע עמדה לגבי חוקיותן של</w:t>
      </w:r>
      <w:r>
        <w:rPr>
          <w:rFonts w:hint="cs"/>
          <w:sz w:val="24"/>
          <w:szCs w:val="24"/>
          <w:rtl/>
        </w:rPr>
        <w:t xml:space="preserve"> תניות סילוקין </w:t>
      </w:r>
      <w:r w:rsidR="00391E2A">
        <w:rPr>
          <w:rFonts w:hint="cs"/>
          <w:sz w:val="24"/>
          <w:szCs w:val="24"/>
          <w:rtl/>
        </w:rPr>
        <w:t xml:space="preserve">או </w:t>
      </w:r>
      <w:r w:rsidR="001B1472">
        <w:rPr>
          <w:rFonts w:hint="cs"/>
          <w:sz w:val="24"/>
          <w:szCs w:val="24"/>
          <w:rtl/>
        </w:rPr>
        <w:t xml:space="preserve">לגבי </w:t>
      </w:r>
      <w:r w:rsidR="00391E2A">
        <w:rPr>
          <w:rFonts w:hint="cs"/>
          <w:sz w:val="24"/>
          <w:szCs w:val="24"/>
          <w:rtl/>
        </w:rPr>
        <w:t>התנאים להפעלתן</w:t>
      </w:r>
      <w:r>
        <w:rPr>
          <w:rFonts w:hint="cs"/>
          <w:sz w:val="24"/>
          <w:szCs w:val="24"/>
          <w:rtl/>
        </w:rPr>
        <w:t>,</w:t>
      </w:r>
      <w:bookmarkStart w:id="6" w:name="_Ref497718196"/>
      <w:r>
        <w:rPr>
          <w:rStyle w:val="a3"/>
          <w:sz w:val="24"/>
          <w:szCs w:val="24"/>
          <w:rtl/>
        </w:rPr>
        <w:footnoteReference w:id="18"/>
      </w:r>
      <w:bookmarkEnd w:id="6"/>
      <w:r>
        <w:rPr>
          <w:rFonts w:hint="cs"/>
          <w:sz w:val="24"/>
          <w:szCs w:val="24"/>
          <w:rtl/>
        </w:rPr>
        <w:t xml:space="preserve"> ו</w:t>
      </w:r>
      <w:r w:rsidR="00391E2A">
        <w:rPr>
          <w:rFonts w:hint="cs"/>
          <w:sz w:val="24"/>
          <w:szCs w:val="24"/>
          <w:rtl/>
        </w:rPr>
        <w:t xml:space="preserve">גם </w:t>
      </w:r>
      <w:r>
        <w:rPr>
          <w:rFonts w:hint="cs"/>
          <w:sz w:val="24"/>
          <w:szCs w:val="24"/>
          <w:rtl/>
        </w:rPr>
        <w:t>בתי המשפט טרם קבעו אמות מידה ברורות בסוגייה.</w:t>
      </w:r>
      <w:bookmarkStart w:id="7" w:name="_Ref499461421"/>
      <w:r>
        <w:rPr>
          <w:rStyle w:val="a3"/>
          <w:sz w:val="24"/>
          <w:szCs w:val="24"/>
          <w:rtl/>
        </w:rPr>
        <w:footnoteReference w:id="19"/>
      </w:r>
      <w:bookmarkEnd w:id="7"/>
      <w:r w:rsidR="004F2014">
        <w:rPr>
          <w:rFonts w:hint="cs"/>
          <w:sz w:val="24"/>
          <w:szCs w:val="24"/>
          <w:rtl/>
        </w:rPr>
        <w:t xml:space="preserve"> </w:t>
      </w:r>
    </w:p>
    <w:p w14:paraId="3F1BE08C" w14:textId="77777777" w:rsidR="00EB4CB1" w:rsidRDefault="00CE7BBB" w:rsidP="00005605">
      <w:pPr>
        <w:spacing w:line="360" w:lineRule="auto"/>
        <w:ind w:firstLine="360"/>
        <w:jc w:val="both"/>
        <w:rPr>
          <w:sz w:val="24"/>
          <w:szCs w:val="24"/>
          <w:rtl/>
        </w:rPr>
      </w:pPr>
      <w:r>
        <w:rPr>
          <w:rFonts w:hint="cs"/>
          <w:sz w:val="24"/>
          <w:szCs w:val="24"/>
          <w:rtl/>
        </w:rPr>
        <w:t>ב</w:t>
      </w:r>
      <w:r w:rsidR="0034790B" w:rsidRPr="00ED4D4B">
        <w:rPr>
          <w:rFonts w:hint="cs"/>
          <w:sz w:val="24"/>
          <w:szCs w:val="24"/>
          <w:rtl/>
        </w:rPr>
        <w:t xml:space="preserve">שתי מדינות בלבד </w:t>
      </w:r>
      <w:r w:rsidR="009C21E4">
        <w:rPr>
          <w:sz w:val="24"/>
          <w:szCs w:val="24"/>
          <w:rtl/>
        </w:rPr>
        <w:t>–</w:t>
      </w:r>
      <w:r w:rsidR="00EF6A01">
        <w:rPr>
          <w:rFonts w:hint="cs"/>
          <w:sz w:val="24"/>
          <w:szCs w:val="24"/>
          <w:rtl/>
        </w:rPr>
        <w:t xml:space="preserve"> </w:t>
      </w:r>
      <w:r w:rsidR="0034790B" w:rsidRPr="00ED4D4B">
        <w:rPr>
          <w:rFonts w:hint="cs"/>
          <w:sz w:val="24"/>
          <w:szCs w:val="24"/>
          <w:rtl/>
        </w:rPr>
        <w:t>פלורידה</w:t>
      </w:r>
      <w:r>
        <w:rPr>
          <w:rStyle w:val="a3"/>
          <w:sz w:val="24"/>
          <w:szCs w:val="24"/>
          <w:rtl/>
        </w:rPr>
        <w:footnoteReference w:id="20"/>
      </w:r>
      <w:r w:rsidR="0034790B" w:rsidRPr="00ED4D4B">
        <w:rPr>
          <w:rFonts w:hint="cs"/>
          <w:sz w:val="24"/>
          <w:szCs w:val="24"/>
          <w:rtl/>
        </w:rPr>
        <w:t xml:space="preserve"> </w:t>
      </w:r>
      <w:r w:rsidR="0088491C">
        <w:rPr>
          <w:rFonts w:hint="cs"/>
          <w:sz w:val="24"/>
          <w:szCs w:val="24"/>
          <w:rtl/>
        </w:rPr>
        <w:t>ו</w:t>
      </w:r>
      <w:r w:rsidR="0034790B" w:rsidRPr="00ED4D4B">
        <w:rPr>
          <w:rFonts w:hint="cs"/>
          <w:sz w:val="24"/>
          <w:szCs w:val="24"/>
          <w:rtl/>
        </w:rPr>
        <w:t>אינדיאנה</w:t>
      </w:r>
      <w:r>
        <w:rPr>
          <w:rStyle w:val="a3"/>
          <w:sz w:val="24"/>
          <w:szCs w:val="24"/>
          <w:rtl/>
        </w:rPr>
        <w:footnoteReference w:id="21"/>
      </w:r>
      <w:r w:rsidR="0034790B" w:rsidRPr="00ED4D4B">
        <w:rPr>
          <w:rFonts w:hint="cs"/>
          <w:sz w:val="24"/>
          <w:szCs w:val="24"/>
          <w:rtl/>
        </w:rPr>
        <w:t xml:space="preserve"> </w:t>
      </w:r>
      <w:r w:rsidR="009C21E4">
        <w:rPr>
          <w:sz w:val="24"/>
          <w:szCs w:val="24"/>
          <w:rtl/>
        </w:rPr>
        <w:t>–</w:t>
      </w:r>
      <w:r w:rsidR="0088491C">
        <w:rPr>
          <w:rFonts w:hint="cs"/>
          <w:sz w:val="24"/>
          <w:szCs w:val="24"/>
          <w:rtl/>
        </w:rPr>
        <w:t xml:space="preserve"> </w:t>
      </w:r>
      <w:r>
        <w:rPr>
          <w:rFonts w:hint="cs"/>
          <w:sz w:val="24"/>
          <w:szCs w:val="24"/>
          <w:rtl/>
        </w:rPr>
        <w:t xml:space="preserve">אומץ </w:t>
      </w:r>
      <w:r w:rsidR="0088491C" w:rsidRPr="0064606A">
        <w:rPr>
          <w:rFonts w:hint="eastAsia"/>
          <w:b/>
          <w:bCs/>
          <w:sz w:val="24"/>
          <w:szCs w:val="24"/>
          <w:rtl/>
        </w:rPr>
        <w:t>מודל</w:t>
      </w:r>
      <w:r w:rsidR="0088491C" w:rsidRPr="0064606A">
        <w:rPr>
          <w:b/>
          <w:bCs/>
          <w:sz w:val="24"/>
          <w:szCs w:val="24"/>
          <w:rtl/>
        </w:rPr>
        <w:t xml:space="preserve"> </w:t>
      </w:r>
      <w:r w:rsidR="0088491C" w:rsidRPr="0064606A">
        <w:rPr>
          <w:rFonts w:hint="eastAsia"/>
          <w:b/>
          <w:bCs/>
          <w:sz w:val="24"/>
          <w:szCs w:val="24"/>
          <w:rtl/>
        </w:rPr>
        <w:t>העדר</w:t>
      </w:r>
      <w:r w:rsidR="0088491C" w:rsidRPr="0064606A">
        <w:rPr>
          <w:b/>
          <w:bCs/>
          <w:sz w:val="24"/>
          <w:szCs w:val="24"/>
          <w:rtl/>
        </w:rPr>
        <w:t xml:space="preserve"> </w:t>
      </w:r>
      <w:r w:rsidR="0088491C" w:rsidRPr="0064606A">
        <w:rPr>
          <w:rFonts w:hint="eastAsia"/>
          <w:b/>
          <w:bCs/>
          <w:sz w:val="24"/>
          <w:szCs w:val="24"/>
          <w:rtl/>
        </w:rPr>
        <w:t>התוקף</w:t>
      </w:r>
      <w:r w:rsidR="0088491C">
        <w:rPr>
          <w:rFonts w:hint="cs"/>
          <w:sz w:val="24"/>
          <w:szCs w:val="24"/>
          <w:rtl/>
        </w:rPr>
        <w:t xml:space="preserve">, </w:t>
      </w:r>
      <w:r>
        <w:rPr>
          <w:rFonts w:hint="cs"/>
          <w:sz w:val="24"/>
          <w:szCs w:val="24"/>
          <w:rtl/>
        </w:rPr>
        <w:t>ו</w:t>
      </w:r>
      <w:r w:rsidR="00391E2A">
        <w:rPr>
          <w:rFonts w:hint="cs"/>
          <w:sz w:val="24"/>
          <w:szCs w:val="24"/>
          <w:rtl/>
        </w:rPr>
        <w:t xml:space="preserve">בחוקיהן </w:t>
      </w:r>
      <w:r w:rsidR="0034790B" w:rsidRPr="00ED4D4B">
        <w:rPr>
          <w:rFonts w:hint="cs"/>
          <w:sz w:val="24"/>
          <w:szCs w:val="24"/>
          <w:rtl/>
        </w:rPr>
        <w:t>נקבע במפורש כי תניות סילוקין בצוואות אינן ברות תוקף</w:t>
      </w:r>
      <w:r w:rsidR="00685278">
        <w:rPr>
          <w:rFonts w:hint="cs"/>
          <w:sz w:val="24"/>
          <w:szCs w:val="24"/>
          <w:rtl/>
        </w:rPr>
        <w:t>. בכך</w:t>
      </w:r>
      <w:r w:rsidR="00EF6A01">
        <w:rPr>
          <w:rFonts w:hint="cs"/>
          <w:sz w:val="24"/>
          <w:szCs w:val="24"/>
          <w:rtl/>
        </w:rPr>
        <w:t>,</w:t>
      </w:r>
      <w:r w:rsidR="00685278">
        <w:rPr>
          <w:rFonts w:hint="cs"/>
          <w:sz w:val="24"/>
          <w:szCs w:val="24"/>
          <w:rtl/>
        </w:rPr>
        <w:t xml:space="preserve"> למעשה</w:t>
      </w:r>
      <w:r w:rsidR="00EF6A01">
        <w:rPr>
          <w:rFonts w:hint="cs"/>
          <w:sz w:val="24"/>
          <w:szCs w:val="24"/>
          <w:rtl/>
        </w:rPr>
        <w:t>,</w:t>
      </w:r>
      <w:r w:rsidR="00685278">
        <w:rPr>
          <w:rFonts w:hint="cs"/>
          <w:sz w:val="24"/>
          <w:szCs w:val="24"/>
          <w:rtl/>
        </w:rPr>
        <w:t xml:space="preserve"> מעניקים החוקים במדינות אלה </w:t>
      </w:r>
      <w:r w:rsidR="0088491C">
        <w:rPr>
          <w:rFonts w:hint="cs"/>
          <w:sz w:val="24"/>
          <w:szCs w:val="24"/>
          <w:rtl/>
        </w:rPr>
        <w:t xml:space="preserve">עדיפות </w:t>
      </w:r>
      <w:r w:rsidR="003366B4">
        <w:rPr>
          <w:rFonts w:hint="cs"/>
          <w:sz w:val="24"/>
          <w:szCs w:val="24"/>
          <w:rtl/>
        </w:rPr>
        <w:t xml:space="preserve">מוחלטת </w:t>
      </w:r>
      <w:r w:rsidR="0088491C">
        <w:rPr>
          <w:rFonts w:hint="cs"/>
          <w:sz w:val="24"/>
          <w:szCs w:val="24"/>
          <w:rtl/>
        </w:rPr>
        <w:t>לזכותו של הנהנה לפנות לערכאות</w:t>
      </w:r>
      <w:r w:rsidR="003366B4">
        <w:rPr>
          <w:rFonts w:hint="cs"/>
          <w:sz w:val="24"/>
          <w:szCs w:val="24"/>
          <w:rtl/>
        </w:rPr>
        <w:t xml:space="preserve"> על פני רצונו של המוריש לקבוע תניית סילוקין</w:t>
      </w:r>
      <w:r w:rsidR="00E0201C">
        <w:rPr>
          <w:rFonts w:hint="cs"/>
          <w:sz w:val="24"/>
          <w:szCs w:val="24"/>
          <w:rtl/>
        </w:rPr>
        <w:t xml:space="preserve">. </w:t>
      </w:r>
    </w:p>
    <w:p w14:paraId="78BC3634" w14:textId="77777777" w:rsidR="00EB4CB1" w:rsidRDefault="00CE7BBB" w:rsidP="00005605">
      <w:pPr>
        <w:spacing w:line="360" w:lineRule="auto"/>
        <w:ind w:firstLine="360"/>
        <w:jc w:val="both"/>
        <w:rPr>
          <w:sz w:val="24"/>
          <w:szCs w:val="24"/>
          <w:rtl/>
        </w:rPr>
      </w:pPr>
      <w:r>
        <w:rPr>
          <w:rFonts w:hint="cs"/>
          <w:sz w:val="24"/>
          <w:szCs w:val="24"/>
          <w:rtl/>
        </w:rPr>
        <w:t>ב</w:t>
      </w:r>
      <w:r w:rsidR="0034790B" w:rsidRPr="00ED4D4B">
        <w:rPr>
          <w:rFonts w:hint="cs"/>
          <w:sz w:val="24"/>
          <w:szCs w:val="24"/>
          <w:rtl/>
        </w:rPr>
        <w:t>מדינת ג'ורג'יה</w:t>
      </w:r>
      <w:r w:rsidR="004F2014">
        <w:rPr>
          <w:rFonts w:hint="cs"/>
          <w:sz w:val="24"/>
          <w:szCs w:val="24"/>
          <w:rtl/>
        </w:rPr>
        <w:t xml:space="preserve"> </w:t>
      </w:r>
      <w:r w:rsidR="001B1472">
        <w:rPr>
          <w:rFonts w:hint="cs"/>
          <w:sz w:val="24"/>
          <w:szCs w:val="24"/>
          <w:rtl/>
        </w:rPr>
        <w:t>אומץ</w:t>
      </w:r>
      <w:r w:rsidR="004F2014">
        <w:rPr>
          <w:rFonts w:hint="cs"/>
          <w:sz w:val="24"/>
          <w:szCs w:val="24"/>
          <w:rtl/>
        </w:rPr>
        <w:t xml:space="preserve"> </w:t>
      </w:r>
      <w:r w:rsidR="004F2014" w:rsidRPr="00005605">
        <w:rPr>
          <w:rFonts w:hint="eastAsia"/>
          <w:b/>
          <w:bCs/>
          <w:sz w:val="24"/>
          <w:szCs w:val="24"/>
          <w:rtl/>
        </w:rPr>
        <w:t>מודל</w:t>
      </w:r>
      <w:r w:rsidR="004F2014" w:rsidRPr="00005605">
        <w:rPr>
          <w:b/>
          <w:bCs/>
          <w:sz w:val="24"/>
          <w:szCs w:val="24"/>
          <w:rtl/>
        </w:rPr>
        <w:t xml:space="preserve"> </w:t>
      </w:r>
      <w:r w:rsidR="004F2014" w:rsidRPr="00005605">
        <w:rPr>
          <w:rFonts w:hint="eastAsia"/>
          <w:b/>
          <w:bCs/>
          <w:sz w:val="24"/>
          <w:szCs w:val="24"/>
          <w:rtl/>
        </w:rPr>
        <w:t>התוקף</w:t>
      </w:r>
      <w:r w:rsidR="004F2014" w:rsidRPr="00005605">
        <w:rPr>
          <w:b/>
          <w:bCs/>
          <w:sz w:val="24"/>
          <w:szCs w:val="24"/>
          <w:rtl/>
        </w:rPr>
        <w:t xml:space="preserve"> </w:t>
      </w:r>
      <w:r w:rsidR="004F2014" w:rsidRPr="00005605">
        <w:rPr>
          <w:rFonts w:hint="eastAsia"/>
          <w:b/>
          <w:bCs/>
          <w:sz w:val="24"/>
          <w:szCs w:val="24"/>
          <w:rtl/>
        </w:rPr>
        <w:t>המותנה</w:t>
      </w:r>
      <w:r w:rsidR="001B1472">
        <w:rPr>
          <w:rFonts w:hint="cs"/>
          <w:sz w:val="24"/>
          <w:szCs w:val="24"/>
          <w:rtl/>
        </w:rPr>
        <w:t xml:space="preserve">. החוק </w:t>
      </w:r>
      <w:r w:rsidR="00685278">
        <w:rPr>
          <w:rFonts w:hint="cs"/>
          <w:sz w:val="24"/>
          <w:szCs w:val="24"/>
          <w:rtl/>
        </w:rPr>
        <w:t>ב</w:t>
      </w:r>
      <w:r w:rsidR="001B1472">
        <w:rPr>
          <w:rFonts w:hint="cs"/>
          <w:sz w:val="24"/>
          <w:szCs w:val="24"/>
          <w:rtl/>
        </w:rPr>
        <w:t>מדינה זו ק</w:t>
      </w:r>
      <w:r w:rsidR="00685278">
        <w:rPr>
          <w:rFonts w:hint="cs"/>
          <w:sz w:val="24"/>
          <w:szCs w:val="24"/>
          <w:rtl/>
        </w:rPr>
        <w:t>ו</w:t>
      </w:r>
      <w:r w:rsidR="001B1472">
        <w:rPr>
          <w:rFonts w:hint="cs"/>
          <w:sz w:val="24"/>
          <w:szCs w:val="24"/>
          <w:rtl/>
        </w:rPr>
        <w:t>בע</w:t>
      </w:r>
      <w:r w:rsidR="0034790B" w:rsidRPr="00ED4D4B">
        <w:rPr>
          <w:rFonts w:hint="cs"/>
          <w:sz w:val="24"/>
          <w:szCs w:val="24"/>
          <w:rtl/>
        </w:rPr>
        <w:t xml:space="preserve"> כי תניית הסילוקין </w:t>
      </w:r>
      <w:r w:rsidR="001B1472">
        <w:rPr>
          <w:rFonts w:hint="cs"/>
          <w:sz w:val="24"/>
          <w:szCs w:val="24"/>
          <w:rtl/>
        </w:rPr>
        <w:t xml:space="preserve">תהא ברת תוקף </w:t>
      </w:r>
      <w:r w:rsidR="0034790B" w:rsidRPr="00ED4D4B">
        <w:rPr>
          <w:rFonts w:hint="cs"/>
          <w:sz w:val="24"/>
          <w:szCs w:val="24"/>
          <w:rtl/>
        </w:rPr>
        <w:t xml:space="preserve">רק בתנאי שהמצווה יקבע במפורש בצוואתו באיזה אופן יתחלק </w:t>
      </w:r>
      <w:r w:rsidR="001B1472">
        <w:rPr>
          <w:rFonts w:hint="cs"/>
          <w:sz w:val="24"/>
          <w:szCs w:val="24"/>
          <w:rtl/>
        </w:rPr>
        <w:t xml:space="preserve">בין היורשים הנותרים </w:t>
      </w:r>
      <w:r w:rsidR="0034790B" w:rsidRPr="00ED4D4B">
        <w:rPr>
          <w:rFonts w:hint="cs"/>
          <w:sz w:val="24"/>
          <w:szCs w:val="24"/>
          <w:rtl/>
        </w:rPr>
        <w:t xml:space="preserve">חלקו של </w:t>
      </w:r>
      <w:r>
        <w:rPr>
          <w:rFonts w:hint="cs"/>
          <w:sz w:val="24"/>
          <w:szCs w:val="24"/>
          <w:rtl/>
        </w:rPr>
        <w:t>הנהנה</w:t>
      </w:r>
      <w:r w:rsidR="0034790B" w:rsidRPr="00ED4D4B">
        <w:rPr>
          <w:rFonts w:hint="cs"/>
          <w:sz w:val="24"/>
          <w:szCs w:val="24"/>
          <w:rtl/>
        </w:rPr>
        <w:t xml:space="preserve"> שאיבד את זכויותיו בעקבות תקיפת הצוואה</w:t>
      </w:r>
      <w:r>
        <w:rPr>
          <w:rFonts w:hint="cs"/>
          <w:sz w:val="24"/>
          <w:szCs w:val="24"/>
          <w:rtl/>
        </w:rPr>
        <w:t>.</w:t>
      </w:r>
      <w:r>
        <w:rPr>
          <w:rStyle w:val="a3"/>
          <w:sz w:val="24"/>
          <w:szCs w:val="24"/>
          <w:rtl/>
        </w:rPr>
        <w:footnoteReference w:id="22"/>
      </w:r>
      <w:r w:rsidR="00316CF9">
        <w:rPr>
          <w:rFonts w:hint="cs"/>
          <w:sz w:val="24"/>
          <w:szCs w:val="24"/>
          <w:rtl/>
        </w:rPr>
        <w:t xml:space="preserve"> </w:t>
      </w:r>
    </w:p>
    <w:p w14:paraId="10FD1420" w14:textId="0D3DDFFE" w:rsidR="00EB4CB1" w:rsidRDefault="00233F7E" w:rsidP="00233F7E">
      <w:pPr>
        <w:spacing w:line="360" w:lineRule="auto"/>
        <w:ind w:firstLine="360"/>
        <w:jc w:val="both"/>
        <w:rPr>
          <w:sz w:val="24"/>
          <w:szCs w:val="24"/>
          <w:rtl/>
        </w:rPr>
      </w:pPr>
      <w:r>
        <w:rPr>
          <w:rFonts w:hint="cs"/>
          <w:sz w:val="24"/>
          <w:szCs w:val="24"/>
          <w:rtl/>
        </w:rPr>
        <w:t>ב</w:t>
      </w:r>
      <w:r w:rsidRPr="00ED4D4B">
        <w:rPr>
          <w:rFonts w:hint="cs"/>
          <w:sz w:val="24"/>
          <w:szCs w:val="24"/>
          <w:rtl/>
        </w:rPr>
        <w:t>אח</w:t>
      </w:r>
      <w:r>
        <w:rPr>
          <w:rFonts w:hint="cs"/>
          <w:sz w:val="24"/>
          <w:szCs w:val="24"/>
          <w:rtl/>
        </w:rPr>
        <w:t>ת</w:t>
      </w:r>
      <w:r w:rsidRPr="00ED4D4B">
        <w:rPr>
          <w:rFonts w:hint="cs"/>
          <w:sz w:val="24"/>
          <w:szCs w:val="24"/>
          <w:rtl/>
        </w:rPr>
        <w:t xml:space="preserve"> </w:t>
      </w:r>
      <w:r w:rsidR="0034790B" w:rsidRPr="00ED4D4B">
        <w:rPr>
          <w:rFonts w:hint="cs"/>
          <w:sz w:val="24"/>
          <w:szCs w:val="24"/>
          <w:rtl/>
        </w:rPr>
        <w:t>עשר</w:t>
      </w:r>
      <w:r>
        <w:rPr>
          <w:rFonts w:hint="cs"/>
          <w:sz w:val="24"/>
          <w:szCs w:val="24"/>
          <w:rtl/>
        </w:rPr>
        <w:t>ה</w:t>
      </w:r>
      <w:r w:rsidR="0034790B" w:rsidRPr="00ED4D4B">
        <w:rPr>
          <w:rFonts w:hint="cs"/>
          <w:sz w:val="24"/>
          <w:szCs w:val="24"/>
          <w:rtl/>
        </w:rPr>
        <w:t xml:space="preserve"> מדינות</w:t>
      </w:r>
      <w:r w:rsidR="0088491C">
        <w:rPr>
          <w:rFonts w:hint="cs"/>
          <w:sz w:val="24"/>
          <w:szCs w:val="24"/>
          <w:rtl/>
        </w:rPr>
        <w:t xml:space="preserve"> </w:t>
      </w:r>
      <w:r w:rsidR="00CE7BBB">
        <w:rPr>
          <w:rFonts w:hint="cs"/>
          <w:sz w:val="24"/>
          <w:szCs w:val="24"/>
          <w:rtl/>
        </w:rPr>
        <w:t xml:space="preserve">אומץ </w:t>
      </w:r>
      <w:r w:rsidR="00CE7BBB">
        <w:rPr>
          <w:rFonts w:hint="cs"/>
          <w:b/>
          <w:bCs/>
          <w:sz w:val="24"/>
          <w:szCs w:val="24"/>
          <w:rtl/>
        </w:rPr>
        <w:t>ה</w:t>
      </w:r>
      <w:r w:rsidR="0088491C" w:rsidRPr="00005605">
        <w:rPr>
          <w:rFonts w:hint="eastAsia"/>
          <w:b/>
          <w:bCs/>
          <w:sz w:val="24"/>
          <w:szCs w:val="24"/>
          <w:rtl/>
        </w:rPr>
        <w:t>מודל</w:t>
      </w:r>
      <w:r w:rsidR="0088491C" w:rsidRPr="00005605">
        <w:rPr>
          <w:b/>
          <w:bCs/>
          <w:sz w:val="24"/>
          <w:szCs w:val="24"/>
          <w:rtl/>
        </w:rPr>
        <w:t xml:space="preserve"> </w:t>
      </w:r>
      <w:r w:rsidR="0088491C" w:rsidRPr="00005605">
        <w:rPr>
          <w:rFonts w:hint="eastAsia"/>
          <w:b/>
          <w:bCs/>
          <w:sz w:val="24"/>
          <w:szCs w:val="24"/>
          <w:rtl/>
        </w:rPr>
        <w:t>הבלתי</w:t>
      </w:r>
      <w:r w:rsidR="0088491C" w:rsidRPr="00005605">
        <w:rPr>
          <w:b/>
          <w:bCs/>
          <w:sz w:val="24"/>
          <w:szCs w:val="24"/>
          <w:rtl/>
        </w:rPr>
        <w:t xml:space="preserve"> </w:t>
      </w:r>
      <w:r w:rsidR="0088491C" w:rsidRPr="00005605">
        <w:rPr>
          <w:rFonts w:hint="eastAsia"/>
          <w:b/>
          <w:bCs/>
          <w:sz w:val="24"/>
          <w:szCs w:val="24"/>
          <w:rtl/>
        </w:rPr>
        <w:t>מסויג</w:t>
      </w:r>
      <w:r w:rsidR="0088491C">
        <w:rPr>
          <w:rFonts w:hint="cs"/>
          <w:sz w:val="24"/>
          <w:szCs w:val="24"/>
          <w:rtl/>
        </w:rPr>
        <w:t xml:space="preserve"> וב</w:t>
      </w:r>
      <w:r w:rsidR="00CE7BBB">
        <w:rPr>
          <w:rFonts w:hint="cs"/>
          <w:sz w:val="24"/>
          <w:szCs w:val="24"/>
          <w:rtl/>
        </w:rPr>
        <w:t>חוקי</w:t>
      </w:r>
      <w:r w:rsidR="0088491C">
        <w:rPr>
          <w:rFonts w:hint="cs"/>
          <w:sz w:val="24"/>
          <w:szCs w:val="24"/>
          <w:rtl/>
        </w:rPr>
        <w:t>הן</w:t>
      </w:r>
      <w:r w:rsidR="0034790B" w:rsidRPr="00ED4D4B">
        <w:rPr>
          <w:rFonts w:hint="cs"/>
          <w:sz w:val="24"/>
          <w:szCs w:val="24"/>
          <w:rtl/>
        </w:rPr>
        <w:t xml:space="preserve"> </w:t>
      </w:r>
      <w:r w:rsidR="0088491C">
        <w:rPr>
          <w:rFonts w:hint="cs"/>
          <w:sz w:val="24"/>
          <w:szCs w:val="24"/>
          <w:rtl/>
        </w:rPr>
        <w:t>נקבע</w:t>
      </w:r>
      <w:r w:rsidR="0034790B" w:rsidRPr="00ED4D4B">
        <w:rPr>
          <w:rFonts w:hint="cs"/>
          <w:sz w:val="24"/>
          <w:szCs w:val="24"/>
          <w:rtl/>
        </w:rPr>
        <w:t xml:space="preserve"> שתניית סילוקין </w:t>
      </w:r>
      <w:r w:rsidR="007B2A00">
        <w:rPr>
          <w:rFonts w:hint="cs"/>
          <w:sz w:val="24"/>
          <w:szCs w:val="24"/>
          <w:rtl/>
        </w:rPr>
        <w:t xml:space="preserve">היא ברת תוקף ובכוחה לשלול את </w:t>
      </w:r>
      <w:r w:rsidR="0034790B" w:rsidRPr="00ED4D4B">
        <w:rPr>
          <w:rFonts w:hint="cs"/>
          <w:sz w:val="24"/>
          <w:szCs w:val="24"/>
          <w:rtl/>
        </w:rPr>
        <w:t xml:space="preserve">חלקו </w:t>
      </w:r>
      <w:r w:rsidR="007B2A00">
        <w:rPr>
          <w:rFonts w:hint="cs"/>
          <w:sz w:val="24"/>
          <w:szCs w:val="24"/>
          <w:rtl/>
        </w:rPr>
        <w:t xml:space="preserve">של </w:t>
      </w:r>
      <w:r w:rsidR="0088491C">
        <w:rPr>
          <w:rFonts w:hint="cs"/>
          <w:sz w:val="24"/>
          <w:szCs w:val="24"/>
          <w:rtl/>
        </w:rPr>
        <w:t>הנהנה</w:t>
      </w:r>
      <w:r w:rsidR="007B2A00">
        <w:rPr>
          <w:rFonts w:hint="cs"/>
          <w:sz w:val="24"/>
          <w:szCs w:val="24"/>
          <w:rtl/>
        </w:rPr>
        <w:t xml:space="preserve"> </w:t>
      </w:r>
      <w:r w:rsidR="00CE7BBB">
        <w:rPr>
          <w:rFonts w:hint="cs"/>
          <w:sz w:val="24"/>
          <w:szCs w:val="24"/>
          <w:rtl/>
        </w:rPr>
        <w:t>ה</w:t>
      </w:r>
      <w:r w:rsidR="0034790B" w:rsidRPr="00ED4D4B">
        <w:rPr>
          <w:rFonts w:hint="cs"/>
          <w:sz w:val="24"/>
          <w:szCs w:val="24"/>
          <w:rtl/>
        </w:rPr>
        <w:t xml:space="preserve">תוקף </w:t>
      </w:r>
      <w:r w:rsidR="007B2A00">
        <w:rPr>
          <w:rFonts w:hint="cs"/>
          <w:sz w:val="24"/>
          <w:szCs w:val="24"/>
          <w:rtl/>
        </w:rPr>
        <w:t>את ה</w:t>
      </w:r>
      <w:r w:rsidR="0034790B" w:rsidRPr="00ED4D4B">
        <w:rPr>
          <w:rFonts w:hint="cs"/>
          <w:sz w:val="24"/>
          <w:szCs w:val="24"/>
          <w:rtl/>
        </w:rPr>
        <w:t>צוואה</w:t>
      </w:r>
      <w:r w:rsidR="00316CF9">
        <w:rPr>
          <w:rFonts w:hint="cs"/>
          <w:sz w:val="24"/>
          <w:szCs w:val="24"/>
          <w:rtl/>
        </w:rPr>
        <w:t xml:space="preserve">, מבלי שיש צורך לבחון </w:t>
      </w:r>
      <w:r w:rsidR="00685278">
        <w:rPr>
          <w:rFonts w:hint="cs"/>
          <w:sz w:val="24"/>
          <w:szCs w:val="24"/>
          <w:rtl/>
        </w:rPr>
        <w:t>תנאים נוספים כלשהם</w:t>
      </w:r>
      <w:r w:rsidR="0034790B" w:rsidRPr="00ED4D4B">
        <w:rPr>
          <w:rFonts w:hint="cs"/>
          <w:sz w:val="24"/>
          <w:szCs w:val="24"/>
          <w:rtl/>
        </w:rPr>
        <w:t>.</w:t>
      </w:r>
      <w:r w:rsidR="00CE7BBB">
        <w:rPr>
          <w:rStyle w:val="a3"/>
          <w:sz w:val="24"/>
          <w:szCs w:val="24"/>
          <w:rtl/>
        </w:rPr>
        <w:footnoteReference w:id="23"/>
      </w:r>
      <w:r w:rsidR="0034790B" w:rsidRPr="00ED4D4B">
        <w:rPr>
          <w:rFonts w:hint="cs"/>
          <w:sz w:val="24"/>
          <w:szCs w:val="24"/>
          <w:rtl/>
        </w:rPr>
        <w:t xml:space="preserve"> </w:t>
      </w:r>
      <w:r w:rsidR="00BA2CE3">
        <w:rPr>
          <w:rFonts w:hint="cs"/>
          <w:sz w:val="24"/>
          <w:szCs w:val="24"/>
          <w:rtl/>
        </w:rPr>
        <w:t>במדינות אלה מ</w:t>
      </w:r>
      <w:r w:rsidR="00BA2CE3" w:rsidRPr="00BA2CE3">
        <w:rPr>
          <w:sz w:val="24"/>
          <w:szCs w:val="24"/>
          <w:rtl/>
        </w:rPr>
        <w:t xml:space="preserve">וענקת עדיפות מוחלטת לרצון המצווה על פני זכותו של הנהנה לפנות לערכאות. לכן, פנייה של הנהנה לערכאות תגרום לאיבוד חלקו בצוואה. עם זאת, גם </w:t>
      </w:r>
      <w:r w:rsidR="00BA2CE3">
        <w:rPr>
          <w:rFonts w:hint="cs"/>
          <w:sz w:val="24"/>
          <w:szCs w:val="24"/>
          <w:rtl/>
        </w:rPr>
        <w:t xml:space="preserve">במדינות אלה </w:t>
      </w:r>
      <w:r w:rsidR="00BA2CE3" w:rsidRPr="00BA2CE3">
        <w:rPr>
          <w:sz w:val="24"/>
          <w:szCs w:val="24"/>
          <w:rtl/>
        </w:rPr>
        <w:t>אין מניעה שנהנה ייטול על עצמו את הסיכון, יפנה לערכאות כנגד הצוואה ואם יצליח להשיג תוצאה משפטית של ביטול הצוואה מדעיקרא – כגון בטענה שהצוואה נעשתה כולה מחמת אונס, איום, השפעה בלתי הוגנת, תחבולה או תרמית – תתבטל ביחד עמה גם תניית הסילוקין</w:t>
      </w:r>
      <w:r w:rsidR="0034790B" w:rsidRPr="00ED4D4B">
        <w:rPr>
          <w:rFonts w:hint="cs"/>
          <w:sz w:val="24"/>
          <w:szCs w:val="24"/>
          <w:rtl/>
        </w:rPr>
        <w:t>.</w:t>
      </w:r>
      <w:r w:rsidR="00CE7BBB">
        <w:rPr>
          <w:rStyle w:val="a3"/>
          <w:sz w:val="24"/>
          <w:szCs w:val="24"/>
          <w:rtl/>
        </w:rPr>
        <w:footnoteReference w:id="24"/>
      </w:r>
    </w:p>
    <w:p w14:paraId="0F98CA37" w14:textId="2D0CEC2B" w:rsidR="0034790B" w:rsidRPr="00ED4D4B" w:rsidRDefault="00CE7BBB" w:rsidP="00005605">
      <w:pPr>
        <w:spacing w:line="360" w:lineRule="auto"/>
        <w:ind w:firstLine="360"/>
        <w:jc w:val="both"/>
        <w:rPr>
          <w:sz w:val="24"/>
          <w:szCs w:val="24"/>
        </w:rPr>
      </w:pPr>
      <w:r>
        <w:rPr>
          <w:rFonts w:hint="cs"/>
          <w:sz w:val="24"/>
          <w:szCs w:val="24"/>
          <w:rtl/>
        </w:rPr>
        <w:t xml:space="preserve">ברוב המדינות בארצות הברית אומץ </w:t>
      </w:r>
      <w:r w:rsidR="00A6646C" w:rsidRPr="00005605">
        <w:rPr>
          <w:rFonts w:hint="eastAsia"/>
          <w:b/>
          <w:bCs/>
          <w:sz w:val="24"/>
          <w:szCs w:val="24"/>
          <w:rtl/>
        </w:rPr>
        <w:t>מודל</w:t>
      </w:r>
      <w:r w:rsidR="00A6646C" w:rsidRPr="00005605">
        <w:rPr>
          <w:b/>
          <w:bCs/>
          <w:sz w:val="24"/>
          <w:szCs w:val="24"/>
          <w:rtl/>
        </w:rPr>
        <w:t xml:space="preserve"> </w:t>
      </w:r>
      <w:r w:rsidR="00A6646C" w:rsidRPr="00005605">
        <w:rPr>
          <w:rFonts w:hint="eastAsia"/>
          <w:b/>
          <w:bCs/>
          <w:sz w:val="24"/>
          <w:szCs w:val="24"/>
          <w:rtl/>
        </w:rPr>
        <w:t>ההפעלה</w:t>
      </w:r>
      <w:r w:rsidR="00A6646C" w:rsidRPr="00005605">
        <w:rPr>
          <w:b/>
          <w:bCs/>
          <w:sz w:val="24"/>
          <w:szCs w:val="24"/>
          <w:rtl/>
        </w:rPr>
        <w:t xml:space="preserve"> </w:t>
      </w:r>
      <w:r w:rsidR="00A6646C" w:rsidRPr="00005605">
        <w:rPr>
          <w:rFonts w:hint="eastAsia"/>
          <w:b/>
          <w:bCs/>
          <w:sz w:val="24"/>
          <w:szCs w:val="24"/>
          <w:rtl/>
        </w:rPr>
        <w:t>המותנית</w:t>
      </w:r>
      <w:r>
        <w:rPr>
          <w:rFonts w:hint="cs"/>
          <w:sz w:val="24"/>
          <w:szCs w:val="24"/>
          <w:rtl/>
        </w:rPr>
        <w:t>, ש</w:t>
      </w:r>
      <w:r w:rsidRPr="00ED4D4B">
        <w:rPr>
          <w:rFonts w:hint="cs"/>
          <w:sz w:val="24"/>
          <w:szCs w:val="24"/>
          <w:rtl/>
        </w:rPr>
        <w:t>לפי</w:t>
      </w:r>
      <w:r>
        <w:rPr>
          <w:rFonts w:hint="cs"/>
          <w:sz w:val="24"/>
          <w:szCs w:val="24"/>
          <w:rtl/>
        </w:rPr>
        <w:t>ו</w:t>
      </w:r>
      <w:r w:rsidRPr="00ED4D4B">
        <w:rPr>
          <w:rFonts w:hint="cs"/>
          <w:sz w:val="24"/>
          <w:szCs w:val="24"/>
          <w:rtl/>
        </w:rPr>
        <w:t xml:space="preserve"> תניית הסילוקין כשלעצמה תקפה, אך </w:t>
      </w:r>
      <w:r>
        <w:rPr>
          <w:rFonts w:hint="cs"/>
          <w:sz w:val="24"/>
          <w:szCs w:val="24"/>
          <w:rtl/>
        </w:rPr>
        <w:t xml:space="preserve">הפעלתה תלויה בהתנהלותו של היורש הפונה לערכאות: אם תקף היורש </w:t>
      </w:r>
      <w:r w:rsidRPr="00ED4D4B">
        <w:rPr>
          <w:rFonts w:hint="cs"/>
          <w:sz w:val="24"/>
          <w:szCs w:val="24"/>
          <w:rtl/>
        </w:rPr>
        <w:t>את הצוואה בטענה המבוססת על עילה סבירה</w:t>
      </w:r>
      <w:r>
        <w:rPr>
          <w:rFonts w:hint="cs"/>
          <w:sz w:val="24"/>
          <w:szCs w:val="24"/>
          <w:rtl/>
        </w:rPr>
        <w:t xml:space="preserve"> לא תופעל נגדו תניית הסילוקין</w:t>
      </w:r>
      <w:r w:rsidRPr="00ED4D4B">
        <w:rPr>
          <w:rFonts w:hint="cs"/>
          <w:sz w:val="24"/>
          <w:szCs w:val="24"/>
          <w:rtl/>
        </w:rPr>
        <w:t>.</w:t>
      </w:r>
      <w:r>
        <w:rPr>
          <w:rStyle w:val="a3"/>
          <w:sz w:val="24"/>
          <w:szCs w:val="24"/>
          <w:rtl/>
        </w:rPr>
        <w:footnoteReference w:id="25"/>
      </w:r>
      <w:r w:rsidR="00513018">
        <w:rPr>
          <w:rFonts w:hint="cs"/>
          <w:sz w:val="24"/>
          <w:szCs w:val="24"/>
          <w:rtl/>
        </w:rPr>
        <w:t xml:space="preserve"> </w:t>
      </w:r>
      <w:r w:rsidRPr="00ED4D4B">
        <w:rPr>
          <w:rFonts w:hint="cs"/>
          <w:color w:val="000000"/>
          <w:sz w:val="24"/>
          <w:szCs w:val="24"/>
          <w:shd w:val="clear" w:color="auto" w:fill="FFFFFF"/>
          <w:rtl/>
        </w:rPr>
        <w:t xml:space="preserve">המבחן לקיומה של </w:t>
      </w:r>
      <w:r w:rsidRPr="00ED4D4B">
        <w:rPr>
          <w:rFonts w:hint="cs"/>
          <w:sz w:val="24"/>
          <w:szCs w:val="24"/>
          <w:rtl/>
        </w:rPr>
        <w:t xml:space="preserve">"עילה סבירה" הוא אם בזמן שבו החל בעל הדין בהליך תקיפת הצוואה, </w:t>
      </w:r>
      <w:r w:rsidR="008501C9">
        <w:rPr>
          <w:rFonts w:hint="cs"/>
          <w:sz w:val="24"/>
          <w:szCs w:val="24"/>
          <w:rtl/>
        </w:rPr>
        <w:t xml:space="preserve">יכול היה, </w:t>
      </w:r>
      <w:r w:rsidRPr="00ED4D4B">
        <w:rPr>
          <w:rFonts w:hint="cs"/>
          <w:sz w:val="24"/>
          <w:szCs w:val="24"/>
          <w:rtl/>
        </w:rPr>
        <w:t xml:space="preserve">אדם סביר, לאחר </w:t>
      </w:r>
      <w:r w:rsidR="008501C9">
        <w:rPr>
          <w:rFonts w:hint="cs"/>
          <w:sz w:val="24"/>
          <w:szCs w:val="24"/>
          <w:rtl/>
        </w:rPr>
        <w:t xml:space="preserve">קבלת </w:t>
      </w:r>
      <w:r w:rsidRPr="00ED4D4B">
        <w:rPr>
          <w:rFonts w:hint="cs"/>
          <w:sz w:val="24"/>
          <w:szCs w:val="24"/>
          <w:rtl/>
        </w:rPr>
        <w:t>יעוץ</w:t>
      </w:r>
      <w:r w:rsidR="008501C9">
        <w:rPr>
          <w:rFonts w:hint="cs"/>
          <w:sz w:val="24"/>
          <w:szCs w:val="24"/>
          <w:rtl/>
        </w:rPr>
        <w:t xml:space="preserve"> מתאים</w:t>
      </w:r>
      <w:r w:rsidRPr="00ED4D4B">
        <w:rPr>
          <w:rFonts w:hint="cs"/>
          <w:sz w:val="24"/>
          <w:szCs w:val="24"/>
          <w:rtl/>
        </w:rPr>
        <w:t xml:space="preserve">, </w:t>
      </w:r>
      <w:r w:rsidR="008501C9">
        <w:rPr>
          <w:rFonts w:hint="cs"/>
          <w:sz w:val="24"/>
          <w:szCs w:val="24"/>
          <w:rtl/>
        </w:rPr>
        <w:t xml:space="preserve">להגיע </w:t>
      </w:r>
      <w:r w:rsidRPr="00ED4D4B">
        <w:rPr>
          <w:rFonts w:hint="cs"/>
          <w:sz w:val="24"/>
          <w:szCs w:val="24"/>
          <w:rtl/>
        </w:rPr>
        <w:t xml:space="preserve">למסקנה </w:t>
      </w:r>
      <w:r w:rsidR="008501C9">
        <w:rPr>
          <w:rFonts w:hint="cs"/>
          <w:sz w:val="24"/>
          <w:szCs w:val="24"/>
          <w:rtl/>
        </w:rPr>
        <w:t xml:space="preserve">שקיימת </w:t>
      </w:r>
      <w:r w:rsidRPr="00ED4D4B">
        <w:rPr>
          <w:rFonts w:hint="cs"/>
          <w:sz w:val="24"/>
          <w:szCs w:val="24"/>
          <w:rtl/>
        </w:rPr>
        <w:t xml:space="preserve">אפשרות ממשית </w:t>
      </w:r>
      <w:r w:rsidR="008501C9">
        <w:rPr>
          <w:rFonts w:hint="cs"/>
          <w:sz w:val="24"/>
          <w:szCs w:val="24"/>
          <w:rtl/>
        </w:rPr>
        <w:t>להצליח ב</w:t>
      </w:r>
      <w:r w:rsidRPr="00ED4D4B">
        <w:rPr>
          <w:rFonts w:hint="cs"/>
          <w:sz w:val="24"/>
          <w:szCs w:val="24"/>
          <w:rtl/>
        </w:rPr>
        <w:t>תקיפת הצוואה.</w:t>
      </w:r>
      <w:r>
        <w:rPr>
          <w:rStyle w:val="a3"/>
          <w:sz w:val="24"/>
          <w:szCs w:val="24"/>
          <w:rtl/>
        </w:rPr>
        <w:footnoteReference w:id="26"/>
      </w:r>
      <w:r w:rsidRPr="00ED4D4B">
        <w:rPr>
          <w:rFonts w:hint="cs"/>
          <w:sz w:val="24"/>
          <w:szCs w:val="24"/>
          <w:rtl/>
        </w:rPr>
        <w:t xml:space="preserve"> גישה זו</w:t>
      </w:r>
      <w:r w:rsidR="00EF68FC">
        <w:rPr>
          <w:rFonts w:hint="cs"/>
          <w:sz w:val="24"/>
          <w:szCs w:val="24"/>
          <w:rtl/>
        </w:rPr>
        <w:t>, שכאמור</w:t>
      </w:r>
      <w:r w:rsidRPr="00ED4D4B">
        <w:rPr>
          <w:rFonts w:hint="cs"/>
          <w:sz w:val="24"/>
          <w:szCs w:val="24"/>
          <w:rtl/>
        </w:rPr>
        <w:t xml:space="preserve"> רווחת </w:t>
      </w:r>
      <w:r w:rsidR="00EF68FC">
        <w:rPr>
          <w:rFonts w:hint="cs"/>
          <w:sz w:val="24"/>
          <w:szCs w:val="24"/>
          <w:rtl/>
        </w:rPr>
        <w:t>ב</w:t>
      </w:r>
      <w:r w:rsidRPr="00ED4D4B">
        <w:rPr>
          <w:rFonts w:hint="cs"/>
          <w:sz w:val="24"/>
          <w:szCs w:val="24"/>
          <w:rtl/>
        </w:rPr>
        <w:t>רוב המדינות, היא גם המומלצת על</w:t>
      </w:r>
      <w:r w:rsidR="00233F7E">
        <w:rPr>
          <w:rFonts w:hint="cs"/>
          <w:sz w:val="24"/>
          <w:szCs w:val="24"/>
          <w:rtl/>
        </w:rPr>
        <w:t xml:space="preserve"> </w:t>
      </w:r>
      <w:r w:rsidRPr="00ED4D4B">
        <w:rPr>
          <w:rFonts w:hint="cs"/>
          <w:sz w:val="24"/>
          <w:szCs w:val="24"/>
          <w:rtl/>
        </w:rPr>
        <w:t>ידי ועדות</w:t>
      </w:r>
      <w:r w:rsidR="00317C4C">
        <w:rPr>
          <w:rFonts w:hint="cs"/>
          <w:sz w:val="24"/>
          <w:szCs w:val="24"/>
          <w:rtl/>
        </w:rPr>
        <w:t xml:space="preserve"> המומחים</w:t>
      </w:r>
      <w:r w:rsidRPr="00ED4D4B">
        <w:rPr>
          <w:rFonts w:hint="cs"/>
          <w:sz w:val="24"/>
          <w:szCs w:val="24"/>
          <w:rtl/>
        </w:rPr>
        <w:t xml:space="preserve"> והמכונים העוסקים בחקר המשפט האמריקני ובהאחדתו.</w:t>
      </w:r>
      <w:r>
        <w:rPr>
          <w:rStyle w:val="a3"/>
          <w:sz w:val="24"/>
          <w:szCs w:val="24"/>
          <w:rtl/>
        </w:rPr>
        <w:footnoteReference w:id="27"/>
      </w:r>
      <w:r w:rsidRPr="00ED4D4B">
        <w:rPr>
          <w:rFonts w:hint="cs"/>
          <w:sz w:val="24"/>
          <w:szCs w:val="24"/>
          <w:rtl/>
        </w:rPr>
        <w:t xml:space="preserve"> אחד השיקולים שהנחו את ועדות המומחים בקבלת העמדה לפיה אין להפעיל תניית סילוקין במקרה של</w:t>
      </w:r>
      <w:r w:rsidR="00ED15CE">
        <w:rPr>
          <w:rFonts w:hint="cs"/>
          <w:sz w:val="24"/>
          <w:szCs w:val="24"/>
          <w:rtl/>
        </w:rPr>
        <w:t xml:space="preserve"> נהנה ה</w:t>
      </w:r>
      <w:r w:rsidRPr="00ED4D4B">
        <w:rPr>
          <w:rFonts w:hint="cs"/>
          <w:sz w:val="24"/>
          <w:szCs w:val="24"/>
          <w:rtl/>
        </w:rPr>
        <w:t xml:space="preserve">תובע על </w:t>
      </w:r>
      <w:r w:rsidR="00EF68FC">
        <w:rPr>
          <w:rFonts w:hint="cs"/>
          <w:sz w:val="24"/>
          <w:szCs w:val="24"/>
          <w:rtl/>
        </w:rPr>
        <w:t>בסיס</w:t>
      </w:r>
      <w:r w:rsidRPr="00ED4D4B">
        <w:rPr>
          <w:rFonts w:hint="cs"/>
          <w:sz w:val="24"/>
          <w:szCs w:val="24"/>
          <w:rtl/>
        </w:rPr>
        <w:t xml:space="preserve"> עילה סבירה, הוא הרצון שלא ל</w:t>
      </w:r>
      <w:r w:rsidR="00EF68FC">
        <w:rPr>
          <w:rFonts w:hint="cs"/>
          <w:sz w:val="24"/>
          <w:szCs w:val="24"/>
          <w:rtl/>
        </w:rPr>
        <w:t>פגוע</w:t>
      </w:r>
      <w:r w:rsidRPr="00ED4D4B">
        <w:rPr>
          <w:rFonts w:hint="cs"/>
          <w:sz w:val="24"/>
          <w:szCs w:val="24"/>
          <w:rtl/>
        </w:rPr>
        <w:t xml:space="preserve"> </w:t>
      </w:r>
      <w:r w:rsidR="00EF68FC">
        <w:rPr>
          <w:rFonts w:hint="cs"/>
          <w:sz w:val="24"/>
          <w:szCs w:val="24"/>
          <w:rtl/>
        </w:rPr>
        <w:t>ב</w:t>
      </w:r>
      <w:r w:rsidRPr="00ED4D4B">
        <w:rPr>
          <w:rFonts w:hint="cs"/>
          <w:sz w:val="24"/>
          <w:szCs w:val="24"/>
          <w:rtl/>
        </w:rPr>
        <w:t xml:space="preserve">זכות הגישה לערכאות </w:t>
      </w:r>
      <w:r w:rsidR="00EF68FC">
        <w:rPr>
          <w:rFonts w:hint="cs"/>
          <w:sz w:val="24"/>
          <w:szCs w:val="24"/>
          <w:rtl/>
        </w:rPr>
        <w:t xml:space="preserve">של </w:t>
      </w:r>
      <w:r w:rsidR="00317C4C">
        <w:rPr>
          <w:rFonts w:hint="cs"/>
          <w:sz w:val="24"/>
          <w:szCs w:val="24"/>
          <w:rtl/>
        </w:rPr>
        <w:t>הנהנה</w:t>
      </w:r>
      <w:r w:rsidR="00EF68FC">
        <w:rPr>
          <w:rFonts w:hint="cs"/>
          <w:sz w:val="24"/>
          <w:szCs w:val="24"/>
          <w:rtl/>
        </w:rPr>
        <w:t xml:space="preserve"> </w:t>
      </w:r>
      <w:r w:rsidRPr="00ED4D4B">
        <w:rPr>
          <w:rFonts w:hint="cs"/>
          <w:sz w:val="24"/>
          <w:szCs w:val="24"/>
          <w:rtl/>
        </w:rPr>
        <w:t>בשל הפחד מאבדן חלקו בירושה.</w:t>
      </w:r>
      <w:r>
        <w:rPr>
          <w:rStyle w:val="a3"/>
          <w:sz w:val="24"/>
          <w:szCs w:val="24"/>
          <w:rtl/>
        </w:rPr>
        <w:footnoteReference w:id="28"/>
      </w:r>
    </w:p>
    <w:p w14:paraId="4A58DDDC" w14:textId="77777777" w:rsidR="0034790B" w:rsidRPr="00ED4D4B" w:rsidRDefault="0034790B" w:rsidP="0034790B">
      <w:pPr>
        <w:pStyle w:val="ad"/>
        <w:spacing w:line="360" w:lineRule="auto"/>
        <w:jc w:val="both"/>
        <w:rPr>
          <w:sz w:val="24"/>
          <w:szCs w:val="24"/>
        </w:rPr>
      </w:pPr>
    </w:p>
    <w:p w14:paraId="4E441657" w14:textId="77777777" w:rsidR="0034790B" w:rsidRPr="006340A2" w:rsidRDefault="00CE7BBB" w:rsidP="0034790B">
      <w:pPr>
        <w:pStyle w:val="ad"/>
        <w:numPr>
          <w:ilvl w:val="0"/>
          <w:numId w:val="11"/>
        </w:numPr>
        <w:spacing w:line="360" w:lineRule="auto"/>
        <w:jc w:val="both"/>
        <w:rPr>
          <w:b/>
          <w:bCs/>
          <w:sz w:val="24"/>
          <w:szCs w:val="24"/>
        </w:rPr>
      </w:pPr>
      <w:r w:rsidRPr="006340A2">
        <w:rPr>
          <w:rFonts w:hint="cs"/>
          <w:b/>
          <w:bCs/>
          <w:sz w:val="24"/>
          <w:szCs w:val="24"/>
          <w:rtl/>
        </w:rPr>
        <w:t xml:space="preserve">קנדה </w:t>
      </w:r>
    </w:p>
    <w:p w14:paraId="2519E425" w14:textId="77777777" w:rsidR="0034790B" w:rsidRPr="00ED4D4B" w:rsidRDefault="0034790B" w:rsidP="0034790B">
      <w:pPr>
        <w:pStyle w:val="ad"/>
        <w:rPr>
          <w:sz w:val="24"/>
          <w:szCs w:val="24"/>
          <w:rtl/>
        </w:rPr>
      </w:pPr>
    </w:p>
    <w:p w14:paraId="6D521F6D" w14:textId="00E1FFBF" w:rsidR="0034790B" w:rsidRPr="00ED4D4B" w:rsidRDefault="00CE7BBB" w:rsidP="00772850">
      <w:pPr>
        <w:spacing w:line="360" w:lineRule="auto"/>
        <w:jc w:val="both"/>
        <w:rPr>
          <w:sz w:val="24"/>
          <w:szCs w:val="24"/>
        </w:rPr>
      </w:pPr>
      <w:r w:rsidRPr="00ED4D4B">
        <w:rPr>
          <w:rFonts w:hint="cs"/>
          <w:sz w:val="24"/>
          <w:szCs w:val="24"/>
          <w:rtl/>
        </w:rPr>
        <w:t>תוקפן של תניות סילוקין בקנדה נבחן באמצעות שני מכשירים: דוקטרינת ה-</w:t>
      </w:r>
      <w:r w:rsidRPr="00ED4D4B">
        <w:rPr>
          <w:i/>
          <w:iCs/>
          <w:sz w:val="24"/>
          <w:szCs w:val="24"/>
        </w:rPr>
        <w:t>in terrorem</w:t>
      </w:r>
      <w:r w:rsidR="00E372AB">
        <w:rPr>
          <w:rFonts w:hint="cs"/>
          <w:sz w:val="24"/>
          <w:szCs w:val="24"/>
          <w:rtl/>
        </w:rPr>
        <w:t xml:space="preserve"> (שפירושה בלטינית "תוך כוונה להפחיד או להרתיע"</w:t>
      </w:r>
      <w:r>
        <w:rPr>
          <w:rStyle w:val="a3"/>
          <w:sz w:val="24"/>
          <w:szCs w:val="24"/>
          <w:rtl/>
        </w:rPr>
        <w:footnoteReference w:id="29"/>
      </w:r>
      <w:r w:rsidR="00E372AB">
        <w:rPr>
          <w:rFonts w:hint="cs"/>
          <w:sz w:val="24"/>
          <w:szCs w:val="24"/>
          <w:rtl/>
        </w:rPr>
        <w:t>)</w:t>
      </w:r>
      <w:r w:rsidRPr="00ED4D4B">
        <w:rPr>
          <w:rFonts w:hint="cs"/>
          <w:sz w:val="24"/>
          <w:szCs w:val="24"/>
          <w:rtl/>
        </w:rPr>
        <w:t xml:space="preserve">, ועקרון תקנת הציבור. </w:t>
      </w:r>
      <w:r w:rsidR="00E372AB">
        <w:rPr>
          <w:rFonts w:hint="cs"/>
          <w:sz w:val="24"/>
          <w:szCs w:val="24"/>
          <w:rtl/>
        </w:rPr>
        <w:t>ה</w:t>
      </w:r>
      <w:r w:rsidRPr="00ED4D4B">
        <w:rPr>
          <w:rFonts w:hint="cs"/>
          <w:sz w:val="24"/>
          <w:szCs w:val="24"/>
          <w:rtl/>
        </w:rPr>
        <w:t xml:space="preserve">מונח </w:t>
      </w:r>
      <w:r w:rsidRPr="00ED4D4B">
        <w:rPr>
          <w:i/>
          <w:iCs/>
          <w:sz w:val="24"/>
          <w:szCs w:val="24"/>
        </w:rPr>
        <w:t>in terrorem clause</w:t>
      </w:r>
      <w:r w:rsidRPr="00ED4D4B">
        <w:rPr>
          <w:rFonts w:hint="cs"/>
          <w:i/>
          <w:iCs/>
          <w:sz w:val="24"/>
          <w:szCs w:val="24"/>
          <w:rtl/>
        </w:rPr>
        <w:t xml:space="preserve"> </w:t>
      </w:r>
      <w:r w:rsidR="00C65B4F" w:rsidRPr="00376556">
        <w:rPr>
          <w:sz w:val="24"/>
          <w:szCs w:val="24"/>
          <w:rtl/>
        </w:rPr>
        <w:t>(להלן</w:t>
      </w:r>
      <w:r w:rsidR="00772850">
        <w:rPr>
          <w:rFonts w:hint="cs"/>
          <w:sz w:val="24"/>
          <w:szCs w:val="24"/>
          <w:rtl/>
        </w:rPr>
        <w:t>:</w:t>
      </w:r>
      <w:r w:rsidR="00C65B4F" w:rsidRPr="00376556">
        <w:rPr>
          <w:sz w:val="24"/>
          <w:szCs w:val="24"/>
          <w:rtl/>
        </w:rPr>
        <w:t xml:space="preserve"> </w:t>
      </w:r>
      <w:r w:rsidR="00C65B4F" w:rsidRPr="00BE52DC">
        <w:rPr>
          <w:b/>
          <w:bCs/>
          <w:sz w:val="24"/>
          <w:szCs w:val="24"/>
          <w:rtl/>
        </w:rPr>
        <w:t>תניית הפחדה</w:t>
      </w:r>
      <w:r w:rsidR="00C65B4F" w:rsidRPr="00376556">
        <w:rPr>
          <w:sz w:val="24"/>
          <w:szCs w:val="24"/>
          <w:rtl/>
        </w:rPr>
        <w:t>)</w:t>
      </w:r>
      <w:r w:rsidR="00C65B4F">
        <w:rPr>
          <w:rFonts w:hint="cs"/>
          <w:sz w:val="24"/>
          <w:szCs w:val="24"/>
          <w:rtl/>
        </w:rPr>
        <w:t xml:space="preserve"> </w:t>
      </w:r>
      <w:r w:rsidR="00E372AB">
        <w:rPr>
          <w:rFonts w:hint="cs"/>
          <w:sz w:val="24"/>
          <w:szCs w:val="24"/>
          <w:rtl/>
        </w:rPr>
        <w:t xml:space="preserve">משמש </w:t>
      </w:r>
      <w:r w:rsidRPr="00ED4D4B">
        <w:rPr>
          <w:rFonts w:hint="cs"/>
          <w:sz w:val="24"/>
          <w:szCs w:val="24"/>
          <w:rtl/>
        </w:rPr>
        <w:t>על</w:t>
      </w:r>
      <w:r w:rsidR="00772850">
        <w:rPr>
          <w:rFonts w:hint="cs"/>
          <w:sz w:val="24"/>
          <w:szCs w:val="24"/>
          <w:rtl/>
        </w:rPr>
        <w:t xml:space="preserve"> </w:t>
      </w:r>
      <w:r w:rsidRPr="00ED4D4B">
        <w:rPr>
          <w:rFonts w:hint="cs"/>
          <w:sz w:val="24"/>
          <w:szCs w:val="24"/>
          <w:rtl/>
        </w:rPr>
        <w:t xml:space="preserve">מנת לתאר </w:t>
      </w:r>
      <w:r w:rsidR="00E372AB">
        <w:rPr>
          <w:rFonts w:hint="cs"/>
          <w:sz w:val="24"/>
          <w:szCs w:val="24"/>
          <w:rtl/>
        </w:rPr>
        <w:t xml:space="preserve">סוג מסוים ונבדל של </w:t>
      </w:r>
      <w:r w:rsidRPr="00ED4D4B">
        <w:rPr>
          <w:rFonts w:hint="cs"/>
          <w:sz w:val="24"/>
          <w:szCs w:val="24"/>
          <w:rtl/>
        </w:rPr>
        <w:t>תניות סילוקין או תניות אי-תחרות</w:t>
      </w:r>
      <w:r w:rsidR="002D60DE">
        <w:rPr>
          <w:rFonts w:hint="cs"/>
          <w:sz w:val="24"/>
          <w:szCs w:val="24"/>
          <w:rtl/>
        </w:rPr>
        <w:t>, כאשר הדוקטרינה באמצעותה מתמודדים עם סוג מסוים זה</w:t>
      </w:r>
      <w:r w:rsidR="00252977">
        <w:rPr>
          <w:rFonts w:hint="cs"/>
          <w:sz w:val="24"/>
          <w:szCs w:val="24"/>
          <w:rtl/>
        </w:rPr>
        <w:t xml:space="preserve"> של תניות סילוקין</w:t>
      </w:r>
      <w:r w:rsidR="002D60DE">
        <w:rPr>
          <w:rFonts w:hint="cs"/>
          <w:sz w:val="24"/>
          <w:szCs w:val="24"/>
          <w:rtl/>
        </w:rPr>
        <w:t xml:space="preserve"> </w:t>
      </w:r>
      <w:r w:rsidR="00252977">
        <w:rPr>
          <w:rFonts w:hint="cs"/>
          <w:sz w:val="24"/>
          <w:szCs w:val="24"/>
          <w:rtl/>
        </w:rPr>
        <w:t>מאמצת</w:t>
      </w:r>
      <w:r w:rsidR="002D60DE">
        <w:rPr>
          <w:rFonts w:hint="cs"/>
          <w:sz w:val="24"/>
          <w:szCs w:val="24"/>
          <w:rtl/>
        </w:rPr>
        <w:t xml:space="preserve"> את </w:t>
      </w:r>
      <w:r w:rsidR="002D60DE" w:rsidRPr="00005605">
        <w:rPr>
          <w:rFonts w:hint="eastAsia"/>
          <w:b/>
          <w:bCs/>
          <w:sz w:val="24"/>
          <w:szCs w:val="24"/>
          <w:rtl/>
        </w:rPr>
        <w:t>מודל</w:t>
      </w:r>
      <w:r w:rsidR="002D60DE" w:rsidRPr="00005605">
        <w:rPr>
          <w:b/>
          <w:bCs/>
          <w:sz w:val="24"/>
          <w:szCs w:val="24"/>
          <w:rtl/>
        </w:rPr>
        <w:t xml:space="preserve"> </w:t>
      </w:r>
      <w:r w:rsidR="002D60DE" w:rsidRPr="00005605">
        <w:rPr>
          <w:rFonts w:hint="eastAsia"/>
          <w:b/>
          <w:bCs/>
          <w:sz w:val="24"/>
          <w:szCs w:val="24"/>
          <w:rtl/>
        </w:rPr>
        <w:t>התוקף</w:t>
      </w:r>
      <w:r w:rsidR="002D60DE" w:rsidRPr="00005605">
        <w:rPr>
          <w:b/>
          <w:bCs/>
          <w:sz w:val="24"/>
          <w:szCs w:val="24"/>
          <w:rtl/>
        </w:rPr>
        <w:t xml:space="preserve"> </w:t>
      </w:r>
      <w:r w:rsidR="002D60DE" w:rsidRPr="00005605">
        <w:rPr>
          <w:rFonts w:hint="eastAsia"/>
          <w:b/>
          <w:bCs/>
          <w:sz w:val="24"/>
          <w:szCs w:val="24"/>
          <w:rtl/>
        </w:rPr>
        <w:t>המותנה</w:t>
      </w:r>
      <w:r w:rsidRPr="00ED4D4B">
        <w:rPr>
          <w:rFonts w:hint="cs"/>
          <w:sz w:val="24"/>
          <w:szCs w:val="24"/>
          <w:rtl/>
        </w:rPr>
        <w:t xml:space="preserve">. </w:t>
      </w:r>
      <w:r w:rsidR="00CE51BD">
        <w:rPr>
          <w:rFonts w:hint="cs"/>
          <w:sz w:val="24"/>
          <w:szCs w:val="24"/>
          <w:rtl/>
        </w:rPr>
        <w:t xml:space="preserve">ההגדרה של </w:t>
      </w:r>
      <w:r w:rsidR="00257B4E">
        <w:rPr>
          <w:rFonts w:hint="cs"/>
          <w:sz w:val="24"/>
          <w:szCs w:val="24"/>
          <w:rtl/>
        </w:rPr>
        <w:t xml:space="preserve">תניית הפחדה </w:t>
      </w:r>
      <w:r w:rsidR="00CE51BD">
        <w:rPr>
          <w:rFonts w:hint="cs"/>
          <w:sz w:val="24"/>
          <w:szCs w:val="24"/>
          <w:rtl/>
        </w:rPr>
        <w:t>היא תני</w:t>
      </w:r>
      <w:r w:rsidR="00772850">
        <w:rPr>
          <w:rFonts w:hint="cs"/>
          <w:sz w:val="24"/>
          <w:szCs w:val="24"/>
          <w:rtl/>
        </w:rPr>
        <w:t>י</w:t>
      </w:r>
      <w:r w:rsidR="00CE51BD">
        <w:rPr>
          <w:rFonts w:hint="cs"/>
          <w:sz w:val="24"/>
          <w:szCs w:val="24"/>
          <w:rtl/>
        </w:rPr>
        <w:t xml:space="preserve">ה לגביה </w:t>
      </w:r>
      <w:r w:rsidR="00C65B4F">
        <w:rPr>
          <w:rFonts w:hint="cs"/>
          <w:sz w:val="24"/>
          <w:szCs w:val="24"/>
          <w:rtl/>
        </w:rPr>
        <w:t xml:space="preserve">נקבע </w:t>
      </w:r>
      <w:r w:rsidR="00257B4E">
        <w:rPr>
          <w:rFonts w:hint="cs"/>
          <w:sz w:val="24"/>
          <w:szCs w:val="24"/>
          <w:rtl/>
        </w:rPr>
        <w:t>ש</w:t>
      </w:r>
      <w:r w:rsidRPr="00ED4D4B">
        <w:rPr>
          <w:rFonts w:hint="cs"/>
          <w:sz w:val="24"/>
          <w:szCs w:val="24"/>
          <w:rtl/>
        </w:rPr>
        <w:t xml:space="preserve">מטרתה הבלעדית </w:t>
      </w:r>
      <w:r w:rsidR="00257B4E">
        <w:rPr>
          <w:rFonts w:hint="cs"/>
          <w:sz w:val="24"/>
          <w:szCs w:val="24"/>
          <w:rtl/>
        </w:rPr>
        <w:t xml:space="preserve">היא יצירת </w:t>
      </w:r>
      <w:r w:rsidRPr="00ED4D4B">
        <w:rPr>
          <w:rFonts w:hint="cs"/>
          <w:sz w:val="24"/>
          <w:szCs w:val="24"/>
          <w:rtl/>
        </w:rPr>
        <w:t>איום סרק</w:t>
      </w:r>
      <w:r w:rsidR="00C65B4F">
        <w:rPr>
          <w:rFonts w:hint="cs"/>
          <w:sz w:val="24"/>
          <w:szCs w:val="24"/>
          <w:rtl/>
        </w:rPr>
        <w:t>.</w:t>
      </w:r>
      <w:r>
        <w:rPr>
          <w:rStyle w:val="a3"/>
          <w:sz w:val="24"/>
          <w:szCs w:val="24"/>
          <w:rtl/>
        </w:rPr>
        <w:footnoteReference w:id="30"/>
      </w:r>
      <w:r w:rsidRPr="00ED4D4B">
        <w:rPr>
          <w:rFonts w:hint="cs"/>
          <w:sz w:val="24"/>
          <w:szCs w:val="24"/>
          <w:rtl/>
        </w:rPr>
        <w:t xml:space="preserve"> על מנת שתנייה תיחשב </w:t>
      </w:r>
      <w:r w:rsidR="008858B1">
        <w:rPr>
          <w:rFonts w:hint="cs"/>
          <w:sz w:val="24"/>
          <w:szCs w:val="24"/>
          <w:rtl/>
        </w:rPr>
        <w:t>תניית הפחדה</w:t>
      </w:r>
      <w:r w:rsidR="00C65B4F">
        <w:rPr>
          <w:rFonts w:hint="cs"/>
          <w:sz w:val="24"/>
          <w:szCs w:val="24"/>
          <w:rtl/>
        </w:rPr>
        <w:t xml:space="preserve"> נקבעו בפסיקה </w:t>
      </w:r>
      <w:r w:rsidRPr="00ED4D4B">
        <w:rPr>
          <w:rFonts w:hint="cs"/>
          <w:sz w:val="24"/>
          <w:szCs w:val="24"/>
          <w:rtl/>
        </w:rPr>
        <w:t>שלושה תנאים</w:t>
      </w:r>
      <w:r w:rsidR="00C65B4F">
        <w:rPr>
          <w:rFonts w:hint="cs"/>
          <w:sz w:val="24"/>
          <w:szCs w:val="24"/>
          <w:rtl/>
        </w:rPr>
        <w:t xml:space="preserve"> מצטברים</w:t>
      </w:r>
      <w:r w:rsidRPr="00ED4D4B">
        <w:rPr>
          <w:rFonts w:hint="cs"/>
          <w:sz w:val="24"/>
          <w:szCs w:val="24"/>
          <w:rtl/>
        </w:rPr>
        <w:t>: (1) הצוואה נוגעת למיטלטלין או לעירוב של מיטלטלין ונכסי נדל"ן</w:t>
      </w:r>
      <w:r w:rsidR="008858B1">
        <w:rPr>
          <w:rFonts w:hint="cs"/>
          <w:sz w:val="24"/>
          <w:szCs w:val="24"/>
          <w:rtl/>
        </w:rPr>
        <w:t>;</w:t>
      </w:r>
      <w:r>
        <w:rPr>
          <w:rStyle w:val="a3"/>
          <w:sz w:val="24"/>
          <w:szCs w:val="24"/>
          <w:rtl/>
        </w:rPr>
        <w:footnoteReference w:id="31"/>
      </w:r>
      <w:r w:rsidRPr="00ED4D4B">
        <w:rPr>
          <w:rFonts w:hint="cs"/>
          <w:sz w:val="24"/>
          <w:szCs w:val="24"/>
          <w:rtl/>
        </w:rPr>
        <w:t xml:space="preserve"> (2) </w:t>
      </w:r>
      <w:proofErr w:type="spellStart"/>
      <w:r w:rsidRPr="00ED4D4B">
        <w:rPr>
          <w:rFonts w:hint="cs"/>
          <w:sz w:val="24"/>
          <w:szCs w:val="24"/>
          <w:rtl/>
        </w:rPr>
        <w:t>התנייה</w:t>
      </w:r>
      <w:proofErr w:type="spellEnd"/>
      <w:r w:rsidRPr="00ED4D4B">
        <w:rPr>
          <w:rFonts w:hint="cs"/>
          <w:sz w:val="24"/>
          <w:szCs w:val="24"/>
          <w:rtl/>
        </w:rPr>
        <w:t xml:space="preserve"> עצמה מטילה מגבלה על נישואין </w:t>
      </w:r>
      <w:r w:rsidRPr="00ED4D4B">
        <w:rPr>
          <w:rFonts w:ascii="David" w:hAnsi="David"/>
          <w:sz w:val="24"/>
          <w:szCs w:val="24"/>
          <w:rtl/>
        </w:rPr>
        <w:t>או על האפשרות להתנגד לצוואה</w:t>
      </w:r>
      <w:r w:rsidR="00757F50">
        <w:rPr>
          <w:rFonts w:ascii="David" w:hAnsi="David" w:hint="cs"/>
          <w:sz w:val="24"/>
          <w:szCs w:val="24"/>
          <w:rtl/>
        </w:rPr>
        <w:t xml:space="preserve"> בבית משפט</w:t>
      </w:r>
      <w:r w:rsidR="008858B1">
        <w:rPr>
          <w:rFonts w:ascii="David" w:hAnsi="David" w:hint="cs"/>
          <w:sz w:val="24"/>
          <w:szCs w:val="24"/>
          <w:rtl/>
        </w:rPr>
        <w:t>;</w:t>
      </w:r>
      <w:r w:rsidRPr="00ED4D4B">
        <w:rPr>
          <w:rFonts w:ascii="David" w:hAnsi="David"/>
          <w:sz w:val="24"/>
          <w:szCs w:val="24"/>
          <w:rtl/>
        </w:rPr>
        <w:t xml:space="preserve"> (3) האיום </w:t>
      </w:r>
      <w:r w:rsidR="00736FB0">
        <w:rPr>
          <w:rFonts w:ascii="David" w:hAnsi="David" w:hint="cs"/>
          <w:sz w:val="24"/>
          <w:szCs w:val="24"/>
          <w:rtl/>
        </w:rPr>
        <w:t>הקבוע</w:t>
      </w:r>
      <w:r w:rsidRPr="00ED4D4B">
        <w:rPr>
          <w:rFonts w:ascii="David" w:hAnsi="David"/>
          <w:sz w:val="24"/>
          <w:szCs w:val="24"/>
          <w:rtl/>
        </w:rPr>
        <w:t xml:space="preserve"> בתנייה הינו איום סרק (</w:t>
      </w:r>
      <w:r w:rsidRPr="00ED4D4B">
        <w:rPr>
          <w:rFonts w:ascii="David" w:eastAsiaTheme="minorHAnsi" w:hAnsi="David"/>
          <w:sz w:val="24"/>
          <w:szCs w:val="24"/>
        </w:rPr>
        <w:t>idle"</w:t>
      </w:r>
      <w:r w:rsidRPr="00ED4D4B">
        <w:rPr>
          <w:rFonts w:ascii="David" w:eastAsiaTheme="minorHAnsi" w:hAnsi="David"/>
          <w:sz w:val="24"/>
          <w:szCs w:val="24"/>
          <w:rtl/>
        </w:rPr>
        <w:t xml:space="preserve">"), </w:t>
      </w:r>
      <w:r w:rsidRPr="00ED4D4B">
        <w:rPr>
          <w:rFonts w:ascii="David" w:eastAsiaTheme="minorHAnsi" w:hAnsi="David" w:hint="cs"/>
          <w:sz w:val="24"/>
          <w:szCs w:val="24"/>
          <w:rtl/>
        </w:rPr>
        <w:t xml:space="preserve">כלומר, כזה שכל מטרתו למנוע </w:t>
      </w:r>
      <w:r w:rsidR="00455A61">
        <w:rPr>
          <w:rFonts w:ascii="David" w:eastAsiaTheme="minorHAnsi" w:hAnsi="David" w:hint="cs"/>
          <w:sz w:val="24"/>
          <w:szCs w:val="24"/>
          <w:rtl/>
        </w:rPr>
        <w:t>מהנהנה</w:t>
      </w:r>
      <w:r w:rsidRPr="00ED4D4B">
        <w:rPr>
          <w:rFonts w:ascii="David" w:eastAsiaTheme="minorHAnsi" w:hAnsi="David"/>
          <w:sz w:val="24"/>
          <w:szCs w:val="24"/>
          <w:rtl/>
        </w:rPr>
        <w:t xml:space="preserve"> לפעול בניגוד לתנייה מבלי שקיים רצון אמיתי לסלק אותו מחלקו</w:t>
      </w:r>
      <w:r w:rsidR="00CC7AD7">
        <w:rPr>
          <w:rFonts w:ascii="David" w:eastAsiaTheme="minorHAnsi" w:hAnsi="David" w:hint="cs"/>
          <w:sz w:val="24"/>
          <w:szCs w:val="24"/>
          <w:rtl/>
        </w:rPr>
        <w:t>,</w:t>
      </w:r>
      <w:r w:rsidR="00B8164D">
        <w:rPr>
          <w:rFonts w:ascii="David" w:eastAsiaTheme="minorHAnsi" w:hAnsi="David" w:hint="cs"/>
          <w:sz w:val="24"/>
          <w:szCs w:val="24"/>
          <w:rtl/>
        </w:rPr>
        <w:t xml:space="preserve"> </w:t>
      </w:r>
      <w:r w:rsidR="00500FAE">
        <w:rPr>
          <w:rFonts w:ascii="David" w:eastAsiaTheme="minorHAnsi" w:hAnsi="David" w:hint="cs"/>
          <w:sz w:val="24"/>
          <w:szCs w:val="24"/>
          <w:rtl/>
        </w:rPr>
        <w:t xml:space="preserve">זאת אומרת, </w:t>
      </w:r>
      <w:r w:rsidR="00455A61">
        <w:rPr>
          <w:rFonts w:ascii="David" w:eastAsiaTheme="minorHAnsi" w:hAnsi="David" w:hint="cs"/>
          <w:sz w:val="24"/>
          <w:szCs w:val="24"/>
          <w:rtl/>
        </w:rPr>
        <w:t>שהמצווה</w:t>
      </w:r>
      <w:r w:rsidR="00B8164D">
        <w:rPr>
          <w:rFonts w:ascii="David" w:eastAsiaTheme="minorHAnsi" w:hAnsi="David" w:hint="cs"/>
          <w:sz w:val="24"/>
          <w:szCs w:val="24"/>
          <w:rtl/>
        </w:rPr>
        <w:t xml:space="preserve"> מניח כי התנייה </w:t>
      </w:r>
      <w:r w:rsidR="00CC7AD7">
        <w:rPr>
          <w:rFonts w:ascii="David" w:eastAsiaTheme="minorHAnsi" w:hAnsi="David" w:hint="cs"/>
          <w:sz w:val="24"/>
          <w:szCs w:val="24"/>
          <w:rtl/>
        </w:rPr>
        <w:t xml:space="preserve">היא כה מרתיעה כך </w:t>
      </w:r>
      <w:r w:rsidR="00455A61">
        <w:rPr>
          <w:rFonts w:ascii="David" w:eastAsiaTheme="minorHAnsi" w:hAnsi="David" w:hint="cs"/>
          <w:sz w:val="24"/>
          <w:szCs w:val="24"/>
          <w:rtl/>
        </w:rPr>
        <w:t>שהנהנה</w:t>
      </w:r>
      <w:r w:rsidR="00B8164D">
        <w:rPr>
          <w:rFonts w:ascii="David" w:eastAsiaTheme="minorHAnsi" w:hAnsi="David" w:hint="cs"/>
          <w:sz w:val="24"/>
          <w:szCs w:val="24"/>
          <w:rtl/>
        </w:rPr>
        <w:t xml:space="preserve"> </w:t>
      </w:r>
      <w:r w:rsidR="00CC7AD7">
        <w:rPr>
          <w:rFonts w:ascii="David" w:eastAsiaTheme="minorHAnsi" w:hAnsi="David" w:hint="cs"/>
          <w:sz w:val="24"/>
          <w:szCs w:val="24"/>
          <w:rtl/>
        </w:rPr>
        <w:t xml:space="preserve">ימנע בסופו של יום </w:t>
      </w:r>
      <w:r w:rsidR="00B8164D">
        <w:rPr>
          <w:rFonts w:ascii="David" w:eastAsiaTheme="minorHAnsi" w:hAnsi="David" w:hint="cs"/>
          <w:sz w:val="24"/>
          <w:szCs w:val="24"/>
          <w:rtl/>
        </w:rPr>
        <w:t>מתקיפת הצוואה ולכן לא יאבד את חלקו</w:t>
      </w:r>
      <w:r w:rsidRPr="00ED4D4B">
        <w:rPr>
          <w:rFonts w:ascii="David" w:eastAsiaTheme="minorHAnsi" w:hAnsi="David"/>
          <w:sz w:val="24"/>
          <w:szCs w:val="24"/>
          <w:rtl/>
        </w:rPr>
        <w:t>.</w:t>
      </w:r>
      <w:bookmarkStart w:id="8" w:name="_Ref506670084"/>
      <w:r>
        <w:rPr>
          <w:rStyle w:val="a3"/>
          <w:rFonts w:ascii="David" w:eastAsiaTheme="minorHAnsi" w:hAnsi="David"/>
          <w:sz w:val="24"/>
          <w:szCs w:val="24"/>
          <w:rtl/>
        </w:rPr>
        <w:footnoteReference w:id="32"/>
      </w:r>
      <w:bookmarkEnd w:id="8"/>
      <w:r w:rsidRPr="00ED4D4B">
        <w:rPr>
          <w:rFonts w:ascii="David" w:hAnsi="David"/>
          <w:sz w:val="24"/>
          <w:szCs w:val="24"/>
          <w:rtl/>
        </w:rPr>
        <w:t xml:space="preserve"> על</w:t>
      </w:r>
      <w:r w:rsidR="00772850">
        <w:rPr>
          <w:rFonts w:ascii="David" w:hAnsi="David" w:hint="cs"/>
          <w:sz w:val="24"/>
          <w:szCs w:val="24"/>
          <w:rtl/>
        </w:rPr>
        <w:t xml:space="preserve"> </w:t>
      </w:r>
      <w:r w:rsidRPr="00ED4D4B">
        <w:rPr>
          <w:rFonts w:ascii="David" w:hAnsi="David"/>
          <w:sz w:val="24"/>
          <w:szCs w:val="24"/>
          <w:rtl/>
        </w:rPr>
        <w:t xml:space="preserve">מנת לבחון אם מדובר באיום סרק בלבד, בוחנים בתי המשפט אם </w:t>
      </w:r>
      <w:r w:rsidR="00455A61">
        <w:rPr>
          <w:rFonts w:ascii="David" w:hAnsi="David" w:hint="cs"/>
          <w:sz w:val="24"/>
          <w:szCs w:val="24"/>
          <w:rtl/>
        </w:rPr>
        <w:t>המצווה</w:t>
      </w:r>
      <w:r w:rsidRPr="00ED4D4B">
        <w:rPr>
          <w:rFonts w:ascii="David" w:hAnsi="David"/>
          <w:sz w:val="24"/>
          <w:szCs w:val="24"/>
          <w:rtl/>
        </w:rPr>
        <w:t xml:space="preserve"> קבע למי יעבור חלקו של </w:t>
      </w:r>
      <w:r w:rsidR="00455A61">
        <w:rPr>
          <w:rFonts w:ascii="David" w:hAnsi="David" w:hint="cs"/>
          <w:sz w:val="24"/>
          <w:szCs w:val="24"/>
          <w:rtl/>
        </w:rPr>
        <w:t>הנהנה</w:t>
      </w:r>
      <w:r w:rsidRPr="00ED4D4B">
        <w:rPr>
          <w:rFonts w:ascii="David" w:hAnsi="David"/>
          <w:sz w:val="24"/>
          <w:szCs w:val="24"/>
          <w:rtl/>
        </w:rPr>
        <w:t xml:space="preserve"> (</w:t>
      </w:r>
      <w:r w:rsidRPr="00ED4D4B">
        <w:rPr>
          <w:rFonts w:ascii="David" w:eastAsiaTheme="minorHAnsi" w:hAnsi="David"/>
          <w:sz w:val="24"/>
          <w:szCs w:val="24"/>
        </w:rPr>
        <w:t>gift over</w:t>
      </w:r>
      <w:r w:rsidRPr="00ED4D4B">
        <w:rPr>
          <w:rFonts w:ascii="David" w:eastAsiaTheme="minorHAnsi" w:hAnsi="David"/>
          <w:sz w:val="24"/>
          <w:szCs w:val="24"/>
          <w:rtl/>
        </w:rPr>
        <w:t>) במקרה של סילוקו.</w:t>
      </w:r>
      <w:r>
        <w:rPr>
          <w:rStyle w:val="a3"/>
          <w:rFonts w:ascii="David" w:eastAsiaTheme="minorHAnsi" w:hAnsi="David"/>
          <w:sz w:val="24"/>
          <w:szCs w:val="24"/>
          <w:rtl/>
        </w:rPr>
        <w:footnoteReference w:id="33"/>
      </w:r>
      <w:r w:rsidRPr="00ED4D4B">
        <w:rPr>
          <w:rFonts w:hint="cs"/>
          <w:sz w:val="24"/>
          <w:szCs w:val="24"/>
          <w:rtl/>
        </w:rPr>
        <w:t xml:space="preserve"> </w:t>
      </w:r>
      <w:r w:rsidR="00736FB0">
        <w:rPr>
          <w:rFonts w:hint="cs"/>
          <w:sz w:val="24"/>
          <w:szCs w:val="24"/>
          <w:rtl/>
        </w:rPr>
        <w:t xml:space="preserve">ההנחה היא כי </w:t>
      </w:r>
      <w:r w:rsidR="00B8164D">
        <w:rPr>
          <w:rFonts w:hint="cs"/>
          <w:sz w:val="24"/>
          <w:szCs w:val="24"/>
          <w:rtl/>
        </w:rPr>
        <w:t xml:space="preserve">אם </w:t>
      </w:r>
      <w:r w:rsidR="00455A61">
        <w:rPr>
          <w:rFonts w:hint="cs"/>
          <w:sz w:val="24"/>
          <w:szCs w:val="24"/>
          <w:rtl/>
        </w:rPr>
        <w:t>המצווה</w:t>
      </w:r>
      <w:r w:rsidR="00B8164D">
        <w:rPr>
          <w:rFonts w:hint="cs"/>
          <w:sz w:val="24"/>
          <w:szCs w:val="24"/>
          <w:rtl/>
        </w:rPr>
        <w:t xml:space="preserve"> לא קבע למי יעבור חלקו של </w:t>
      </w:r>
      <w:r w:rsidR="00455A61">
        <w:rPr>
          <w:rFonts w:hint="cs"/>
          <w:sz w:val="24"/>
          <w:szCs w:val="24"/>
          <w:rtl/>
        </w:rPr>
        <w:t>הנהנה</w:t>
      </w:r>
      <w:r w:rsidR="00B8164D">
        <w:rPr>
          <w:rFonts w:hint="cs"/>
          <w:sz w:val="24"/>
          <w:szCs w:val="24"/>
          <w:rtl/>
        </w:rPr>
        <w:t xml:space="preserve"> שהפסיד את חלקו, הרי ש</w:t>
      </w:r>
      <w:r w:rsidR="005341A0">
        <w:rPr>
          <w:rFonts w:hint="cs"/>
          <w:sz w:val="24"/>
          <w:szCs w:val="24"/>
          <w:rtl/>
        </w:rPr>
        <w:t xml:space="preserve">לא </w:t>
      </w:r>
      <w:r w:rsidR="00C65B4F">
        <w:rPr>
          <w:rFonts w:hint="cs"/>
          <w:sz w:val="24"/>
          <w:szCs w:val="24"/>
          <w:rtl/>
        </w:rPr>
        <w:t>היה בעל כוונה אמיתית</w:t>
      </w:r>
      <w:r w:rsidR="005341A0">
        <w:rPr>
          <w:rFonts w:hint="cs"/>
          <w:sz w:val="24"/>
          <w:szCs w:val="24"/>
          <w:rtl/>
        </w:rPr>
        <w:t xml:space="preserve"> לסלק את </w:t>
      </w:r>
      <w:r w:rsidR="00455A61">
        <w:rPr>
          <w:rFonts w:hint="cs"/>
          <w:sz w:val="24"/>
          <w:szCs w:val="24"/>
          <w:rtl/>
        </w:rPr>
        <w:t>הנהנה</w:t>
      </w:r>
      <w:r w:rsidR="005341A0">
        <w:rPr>
          <w:rFonts w:hint="cs"/>
          <w:sz w:val="24"/>
          <w:szCs w:val="24"/>
          <w:rtl/>
        </w:rPr>
        <w:t xml:space="preserve"> מחלקו ולכן </w:t>
      </w:r>
      <w:r w:rsidR="00B8164D">
        <w:rPr>
          <w:rFonts w:hint="cs"/>
          <w:sz w:val="24"/>
          <w:szCs w:val="24"/>
          <w:rtl/>
        </w:rPr>
        <w:t>מדובר על איום סרק.</w:t>
      </w:r>
      <w:r w:rsidR="00513018">
        <w:rPr>
          <w:rFonts w:hint="cs"/>
          <w:sz w:val="24"/>
          <w:szCs w:val="24"/>
          <w:rtl/>
        </w:rPr>
        <w:t xml:space="preserve"> </w:t>
      </w:r>
      <w:r w:rsidR="00841F98">
        <w:rPr>
          <w:rFonts w:hint="cs"/>
          <w:sz w:val="24"/>
          <w:szCs w:val="24"/>
          <w:rtl/>
        </w:rPr>
        <w:t>התנאים שנקבעו עוסקים הן בדרישה לכך שהמצווה יכלול קביעה בדבר חלוקת הע</w:t>
      </w:r>
      <w:r w:rsidR="00736FB0">
        <w:rPr>
          <w:rFonts w:hint="cs"/>
          <w:sz w:val="24"/>
          <w:szCs w:val="24"/>
          <w:rtl/>
        </w:rPr>
        <w:t>י</w:t>
      </w:r>
      <w:r w:rsidR="00841F98">
        <w:rPr>
          <w:rFonts w:hint="cs"/>
          <w:sz w:val="24"/>
          <w:szCs w:val="24"/>
          <w:rtl/>
        </w:rPr>
        <w:t xml:space="preserve">זבון לאחר הפעלת </w:t>
      </w:r>
      <w:proofErr w:type="spellStart"/>
      <w:r w:rsidR="00841F98">
        <w:rPr>
          <w:rFonts w:hint="cs"/>
          <w:sz w:val="24"/>
          <w:szCs w:val="24"/>
          <w:rtl/>
        </w:rPr>
        <w:t>התנייה</w:t>
      </w:r>
      <w:proofErr w:type="spellEnd"/>
      <w:r w:rsidR="00841F98">
        <w:rPr>
          <w:rFonts w:hint="cs"/>
          <w:sz w:val="24"/>
          <w:szCs w:val="24"/>
          <w:rtl/>
        </w:rPr>
        <w:t xml:space="preserve"> </w:t>
      </w:r>
      <w:r w:rsidR="00772850">
        <w:rPr>
          <w:rFonts w:hint="cs"/>
          <w:sz w:val="24"/>
          <w:szCs w:val="24"/>
          <w:rtl/>
        </w:rPr>
        <w:t>ו</w:t>
      </w:r>
      <w:r w:rsidR="00841F98">
        <w:rPr>
          <w:rFonts w:hint="cs"/>
          <w:sz w:val="24"/>
          <w:szCs w:val="24"/>
          <w:rtl/>
        </w:rPr>
        <w:t xml:space="preserve">הן </w:t>
      </w:r>
      <w:r w:rsidR="002D60DE">
        <w:rPr>
          <w:rFonts w:hint="cs"/>
          <w:sz w:val="24"/>
          <w:szCs w:val="24"/>
          <w:rtl/>
        </w:rPr>
        <w:t>בהגבלת חופש הציווי מבחינת</w:t>
      </w:r>
      <w:r w:rsidR="00841F98">
        <w:rPr>
          <w:rFonts w:hint="cs"/>
          <w:sz w:val="24"/>
          <w:szCs w:val="24"/>
          <w:rtl/>
        </w:rPr>
        <w:t xml:space="preserve"> הרכוש המחולק </w:t>
      </w:r>
      <w:r w:rsidR="002D60DE">
        <w:rPr>
          <w:rFonts w:hint="cs"/>
          <w:sz w:val="24"/>
          <w:szCs w:val="24"/>
          <w:rtl/>
        </w:rPr>
        <w:t>והאיסורים שנקבעו</w:t>
      </w:r>
      <w:r w:rsidR="00841F98">
        <w:rPr>
          <w:rFonts w:hint="cs"/>
          <w:sz w:val="24"/>
          <w:szCs w:val="24"/>
          <w:rtl/>
        </w:rPr>
        <w:t xml:space="preserve"> בתנייה. במקרה של תניות ההפחדה, קיומם של התנאים מביא לתוצאה שלפיה תהה התנייה חסרת תוקף. </w:t>
      </w:r>
    </w:p>
    <w:p w14:paraId="4D555930" w14:textId="6872810D" w:rsidR="0034790B" w:rsidRDefault="00CE7BBB" w:rsidP="00772850">
      <w:pPr>
        <w:spacing w:line="360" w:lineRule="auto"/>
        <w:ind w:firstLine="720"/>
        <w:jc w:val="both"/>
        <w:rPr>
          <w:sz w:val="24"/>
          <w:szCs w:val="24"/>
          <w:rtl/>
        </w:rPr>
      </w:pPr>
      <w:r w:rsidRPr="0005728F">
        <w:rPr>
          <w:rFonts w:hint="eastAsia"/>
          <w:b/>
          <w:bCs/>
          <w:sz w:val="24"/>
          <w:szCs w:val="24"/>
          <w:rtl/>
        </w:rPr>
        <w:t>מודל</w:t>
      </w:r>
      <w:r w:rsidRPr="0005728F">
        <w:rPr>
          <w:b/>
          <w:bCs/>
          <w:sz w:val="24"/>
          <w:szCs w:val="24"/>
          <w:rtl/>
        </w:rPr>
        <w:t xml:space="preserve"> </w:t>
      </w:r>
      <w:r w:rsidRPr="0005728F">
        <w:rPr>
          <w:rFonts w:hint="eastAsia"/>
          <w:b/>
          <w:bCs/>
          <w:sz w:val="24"/>
          <w:szCs w:val="24"/>
          <w:rtl/>
        </w:rPr>
        <w:t>התוקף</w:t>
      </w:r>
      <w:r w:rsidRPr="0005728F">
        <w:rPr>
          <w:b/>
          <w:bCs/>
          <w:sz w:val="24"/>
          <w:szCs w:val="24"/>
          <w:rtl/>
        </w:rPr>
        <w:t xml:space="preserve"> </w:t>
      </w:r>
      <w:r w:rsidRPr="0005728F">
        <w:rPr>
          <w:rFonts w:hint="eastAsia"/>
          <w:b/>
          <w:bCs/>
          <w:sz w:val="24"/>
          <w:szCs w:val="24"/>
          <w:rtl/>
        </w:rPr>
        <w:t>המותנה</w:t>
      </w:r>
      <w:r>
        <w:rPr>
          <w:rFonts w:hint="cs"/>
          <w:sz w:val="24"/>
          <w:szCs w:val="24"/>
          <w:rtl/>
        </w:rPr>
        <w:t xml:space="preserve"> </w:t>
      </w:r>
      <w:r w:rsidR="00736FB0">
        <w:rPr>
          <w:rFonts w:hint="cs"/>
          <w:sz w:val="24"/>
          <w:szCs w:val="24"/>
          <w:rtl/>
        </w:rPr>
        <w:t>אומץ בקנדה</w:t>
      </w:r>
      <w:r>
        <w:rPr>
          <w:rFonts w:hint="cs"/>
          <w:sz w:val="24"/>
          <w:szCs w:val="24"/>
          <w:rtl/>
        </w:rPr>
        <w:t xml:space="preserve"> גם</w:t>
      </w:r>
      <w:r w:rsidRPr="00ED4D4B">
        <w:rPr>
          <w:rFonts w:hint="cs"/>
          <w:sz w:val="24"/>
          <w:szCs w:val="24"/>
          <w:rtl/>
        </w:rPr>
        <w:t xml:space="preserve"> במקרים בהם </w:t>
      </w:r>
      <w:r w:rsidR="00736FB0">
        <w:rPr>
          <w:rFonts w:hint="cs"/>
          <w:sz w:val="24"/>
          <w:szCs w:val="24"/>
          <w:rtl/>
        </w:rPr>
        <w:t xml:space="preserve">קבע בית המשפט כי </w:t>
      </w:r>
      <w:r w:rsidRPr="00ED4D4B">
        <w:rPr>
          <w:rFonts w:hint="cs"/>
          <w:sz w:val="24"/>
          <w:szCs w:val="24"/>
          <w:rtl/>
        </w:rPr>
        <w:t xml:space="preserve">התנייה אינה </w:t>
      </w:r>
      <w:r w:rsidR="00FE5133">
        <w:rPr>
          <w:rFonts w:hint="cs"/>
          <w:sz w:val="24"/>
          <w:szCs w:val="24"/>
          <w:rtl/>
        </w:rPr>
        <w:t xml:space="preserve">עונה לתנאים של </w:t>
      </w:r>
      <w:r w:rsidR="008858B1">
        <w:rPr>
          <w:rFonts w:hint="cs"/>
          <w:sz w:val="24"/>
          <w:szCs w:val="24"/>
          <w:rtl/>
        </w:rPr>
        <w:t>תניית הפחדה</w:t>
      </w:r>
      <w:r w:rsidR="00736FB0">
        <w:rPr>
          <w:rFonts w:hint="cs"/>
          <w:sz w:val="24"/>
          <w:szCs w:val="24"/>
          <w:rtl/>
        </w:rPr>
        <w:t>. ב</w:t>
      </w:r>
      <w:r w:rsidR="000B7658">
        <w:rPr>
          <w:rFonts w:hint="cs"/>
          <w:sz w:val="24"/>
          <w:szCs w:val="24"/>
          <w:rtl/>
        </w:rPr>
        <w:t>מקרים אלה קבעו בתי המשפט, כי תניית סילוקין תבוטל</w:t>
      </w:r>
      <w:r w:rsidR="00FE5133">
        <w:rPr>
          <w:rFonts w:hint="cs"/>
          <w:sz w:val="24"/>
          <w:szCs w:val="24"/>
          <w:rtl/>
        </w:rPr>
        <w:t xml:space="preserve"> בכל זאת</w:t>
      </w:r>
      <w:r w:rsidR="000B7658">
        <w:rPr>
          <w:rFonts w:hint="cs"/>
          <w:sz w:val="24"/>
          <w:szCs w:val="24"/>
          <w:rtl/>
        </w:rPr>
        <w:t xml:space="preserve"> </w:t>
      </w:r>
      <w:r w:rsidR="00562AF4">
        <w:rPr>
          <w:rFonts w:hint="cs"/>
          <w:sz w:val="24"/>
          <w:szCs w:val="24"/>
          <w:rtl/>
        </w:rPr>
        <w:t xml:space="preserve">אם היא פוגעת </w:t>
      </w:r>
      <w:r w:rsidR="00CC26EC">
        <w:rPr>
          <w:rFonts w:hint="cs"/>
          <w:sz w:val="24"/>
          <w:szCs w:val="24"/>
          <w:rtl/>
        </w:rPr>
        <w:t>ב</w:t>
      </w:r>
      <w:r w:rsidRPr="00ED4D4B">
        <w:rPr>
          <w:rFonts w:hint="cs"/>
          <w:sz w:val="24"/>
          <w:szCs w:val="24"/>
          <w:rtl/>
        </w:rPr>
        <w:t xml:space="preserve">תקנת הציבור. פסק הדין </w:t>
      </w:r>
      <w:r w:rsidR="008858B1">
        <w:rPr>
          <w:rFonts w:hint="cs"/>
          <w:sz w:val="24"/>
          <w:szCs w:val="24"/>
          <w:rtl/>
        </w:rPr>
        <w:t>המנחה</w:t>
      </w:r>
      <w:r w:rsidRPr="00ED4D4B">
        <w:rPr>
          <w:rFonts w:hint="cs"/>
          <w:sz w:val="24"/>
          <w:szCs w:val="24"/>
          <w:rtl/>
        </w:rPr>
        <w:t xml:space="preserve"> </w:t>
      </w:r>
      <w:r w:rsidR="008858B1">
        <w:rPr>
          <w:rFonts w:hint="cs"/>
          <w:sz w:val="24"/>
          <w:szCs w:val="24"/>
          <w:rtl/>
        </w:rPr>
        <w:t xml:space="preserve">בהקשר </w:t>
      </w:r>
      <w:r w:rsidRPr="00ED4D4B">
        <w:rPr>
          <w:rFonts w:hint="cs"/>
          <w:sz w:val="24"/>
          <w:szCs w:val="24"/>
          <w:rtl/>
        </w:rPr>
        <w:t>זה ניתן בעניין</w:t>
      </w:r>
      <w:r w:rsidRPr="00BE52DC">
        <w:rPr>
          <w:b/>
          <w:bCs/>
          <w:sz w:val="24"/>
          <w:szCs w:val="24"/>
          <w:rtl/>
        </w:rPr>
        <w:t xml:space="preserve"> </w:t>
      </w:r>
      <w:r w:rsidRPr="00BE52DC">
        <w:rPr>
          <w:b/>
          <w:bCs/>
          <w:i/>
          <w:iCs/>
          <w:sz w:val="24"/>
          <w:szCs w:val="24"/>
        </w:rPr>
        <w:t>Kent</w:t>
      </w:r>
      <w:r w:rsidR="00BA1ADC" w:rsidRPr="00ED4D4B">
        <w:rPr>
          <w:rFonts w:hint="cs"/>
          <w:sz w:val="24"/>
          <w:szCs w:val="24"/>
          <w:rtl/>
        </w:rPr>
        <w:t>.</w:t>
      </w:r>
      <w:r w:rsidRPr="00ED4D4B">
        <w:rPr>
          <w:sz w:val="24"/>
          <w:szCs w:val="24"/>
        </w:rPr>
        <w:t xml:space="preserve"> </w:t>
      </w:r>
      <w:r w:rsidRPr="00ED4D4B">
        <w:rPr>
          <w:rFonts w:hint="cs"/>
          <w:sz w:val="24"/>
          <w:szCs w:val="24"/>
          <w:rtl/>
        </w:rPr>
        <w:t xml:space="preserve">בנסיבות העניין, חסמה התנייה את האפשרות של יורשים </w:t>
      </w:r>
      <w:r w:rsidR="00F97C85">
        <w:rPr>
          <w:rFonts w:hint="cs"/>
          <w:sz w:val="24"/>
          <w:szCs w:val="24"/>
          <w:rtl/>
        </w:rPr>
        <w:t xml:space="preserve">תלויים </w:t>
      </w:r>
      <w:r w:rsidR="00F97C85">
        <w:rPr>
          <w:sz w:val="24"/>
          <w:szCs w:val="24"/>
          <w:rtl/>
        </w:rPr>
        <w:t>–</w:t>
      </w:r>
      <w:r w:rsidR="00F97C85">
        <w:rPr>
          <w:rFonts w:hint="cs"/>
          <w:sz w:val="24"/>
          <w:szCs w:val="24"/>
          <w:rtl/>
        </w:rPr>
        <w:t xml:space="preserve"> כגון אלמנה וילדים </w:t>
      </w:r>
      <w:r w:rsidR="00F97C85">
        <w:rPr>
          <w:sz w:val="24"/>
          <w:szCs w:val="24"/>
          <w:rtl/>
        </w:rPr>
        <w:t>–</w:t>
      </w:r>
      <w:r w:rsidR="00F97C85">
        <w:rPr>
          <w:rFonts w:hint="cs"/>
          <w:sz w:val="24"/>
          <w:szCs w:val="24"/>
          <w:rtl/>
        </w:rPr>
        <w:t xml:space="preserve"> </w:t>
      </w:r>
      <w:r w:rsidRPr="00ED4D4B">
        <w:rPr>
          <w:rFonts w:hint="cs"/>
          <w:sz w:val="24"/>
          <w:szCs w:val="24"/>
          <w:rtl/>
        </w:rPr>
        <w:t>לפנות לבית המשפט בהליך מכוח חוק שמטרתו שינוי הצוואה</w:t>
      </w:r>
      <w:r w:rsidR="00527BB2" w:rsidRPr="00ED4D4B">
        <w:rPr>
          <w:rFonts w:hint="cs"/>
          <w:sz w:val="24"/>
          <w:szCs w:val="24"/>
          <w:rtl/>
        </w:rPr>
        <w:t xml:space="preserve"> או סטייה מהוראותיה</w:t>
      </w:r>
      <w:r w:rsidR="00772850">
        <w:rPr>
          <w:rFonts w:hint="cs"/>
          <w:sz w:val="24"/>
          <w:szCs w:val="24"/>
          <w:rtl/>
        </w:rPr>
        <w:t>,</w:t>
      </w:r>
      <w:r w:rsidRPr="00ED4D4B">
        <w:rPr>
          <w:rFonts w:hint="cs"/>
          <w:sz w:val="24"/>
          <w:szCs w:val="24"/>
          <w:rtl/>
        </w:rPr>
        <w:t xml:space="preserve"> במקרים בהם </w:t>
      </w:r>
      <w:r w:rsidR="00527BB2" w:rsidRPr="00ED4D4B">
        <w:rPr>
          <w:rFonts w:hint="cs"/>
          <w:sz w:val="24"/>
          <w:szCs w:val="24"/>
          <w:rtl/>
        </w:rPr>
        <w:t>החלוקה שקבע המצווה</w:t>
      </w:r>
      <w:r w:rsidRPr="00ED4D4B">
        <w:rPr>
          <w:rFonts w:hint="cs"/>
          <w:sz w:val="24"/>
          <w:szCs w:val="24"/>
          <w:rtl/>
        </w:rPr>
        <w:t xml:space="preserve"> </w:t>
      </w:r>
      <w:r w:rsidR="00772850">
        <w:rPr>
          <w:rFonts w:hint="cs"/>
          <w:sz w:val="24"/>
          <w:szCs w:val="24"/>
          <w:rtl/>
        </w:rPr>
        <w:t>אינה</w:t>
      </w:r>
      <w:r w:rsidR="00772850" w:rsidRPr="00ED4D4B">
        <w:rPr>
          <w:rFonts w:hint="cs"/>
          <w:sz w:val="24"/>
          <w:szCs w:val="24"/>
          <w:rtl/>
        </w:rPr>
        <w:t xml:space="preserve"> </w:t>
      </w:r>
      <w:r w:rsidRPr="00ED4D4B">
        <w:rPr>
          <w:rFonts w:hint="cs"/>
          <w:sz w:val="24"/>
          <w:szCs w:val="24"/>
          <w:rtl/>
        </w:rPr>
        <w:t>מספיק</w:t>
      </w:r>
      <w:r w:rsidR="00527BB2" w:rsidRPr="00ED4D4B">
        <w:rPr>
          <w:rFonts w:hint="cs"/>
          <w:sz w:val="24"/>
          <w:szCs w:val="24"/>
          <w:rtl/>
        </w:rPr>
        <w:t>ה</w:t>
      </w:r>
      <w:r w:rsidRPr="00ED4D4B">
        <w:rPr>
          <w:rFonts w:hint="cs"/>
          <w:sz w:val="24"/>
          <w:szCs w:val="24"/>
          <w:rtl/>
        </w:rPr>
        <w:t xml:space="preserve"> למילוי </w:t>
      </w:r>
      <w:r w:rsidR="00CC26EC">
        <w:rPr>
          <w:rFonts w:hint="cs"/>
          <w:sz w:val="24"/>
          <w:szCs w:val="24"/>
          <w:rtl/>
        </w:rPr>
        <w:t xml:space="preserve">צרכיהם </w:t>
      </w:r>
      <w:r w:rsidR="004E2524" w:rsidRPr="00ED4D4B">
        <w:rPr>
          <w:rFonts w:hint="cs"/>
          <w:sz w:val="24"/>
          <w:szCs w:val="24"/>
          <w:rtl/>
        </w:rPr>
        <w:t>הקיומיים</w:t>
      </w:r>
      <w:r w:rsidR="00FE5133">
        <w:rPr>
          <w:rFonts w:hint="cs"/>
          <w:sz w:val="24"/>
          <w:szCs w:val="24"/>
          <w:rtl/>
        </w:rPr>
        <w:t xml:space="preserve"> </w:t>
      </w:r>
      <w:r w:rsidR="00562AF4">
        <w:rPr>
          <w:rFonts w:hint="cs"/>
          <w:sz w:val="24"/>
          <w:szCs w:val="24"/>
          <w:rtl/>
        </w:rPr>
        <w:t xml:space="preserve">של </w:t>
      </w:r>
      <w:r w:rsidR="00FE5133">
        <w:rPr>
          <w:rFonts w:hint="cs"/>
          <w:sz w:val="24"/>
          <w:szCs w:val="24"/>
          <w:rtl/>
        </w:rPr>
        <w:t>התלויים</w:t>
      </w:r>
      <w:r w:rsidR="004E2524" w:rsidRPr="00ED4D4B">
        <w:rPr>
          <w:rFonts w:hint="cs"/>
          <w:sz w:val="24"/>
          <w:szCs w:val="24"/>
          <w:rtl/>
        </w:rPr>
        <w:t>.</w:t>
      </w:r>
      <w:r>
        <w:rPr>
          <w:rStyle w:val="a3"/>
          <w:sz w:val="24"/>
          <w:szCs w:val="24"/>
          <w:rtl/>
        </w:rPr>
        <w:footnoteReference w:id="34"/>
      </w:r>
      <w:r w:rsidRPr="00ED4D4B">
        <w:rPr>
          <w:rFonts w:hint="cs"/>
          <w:sz w:val="24"/>
          <w:szCs w:val="24"/>
          <w:rtl/>
        </w:rPr>
        <w:t xml:space="preserve"> </w:t>
      </w:r>
      <w:r w:rsidR="008858B1">
        <w:rPr>
          <w:rFonts w:hint="cs"/>
          <w:sz w:val="24"/>
          <w:szCs w:val="24"/>
          <w:rtl/>
        </w:rPr>
        <w:t xml:space="preserve">מהטעם </w:t>
      </w:r>
      <w:r w:rsidR="008858B1" w:rsidRPr="008858B1">
        <w:rPr>
          <w:rFonts w:hint="cs"/>
          <w:sz w:val="24"/>
          <w:szCs w:val="24"/>
          <w:rtl/>
        </w:rPr>
        <w:t>שלא התקיימו לגבי</w:t>
      </w:r>
      <w:r w:rsidR="008858B1">
        <w:rPr>
          <w:rFonts w:hint="cs"/>
          <w:sz w:val="24"/>
          <w:szCs w:val="24"/>
          <w:rtl/>
        </w:rPr>
        <w:t xml:space="preserve"> תניית הסילוקין</w:t>
      </w:r>
      <w:r w:rsidR="008858B1" w:rsidRPr="008858B1">
        <w:rPr>
          <w:rFonts w:hint="cs"/>
          <w:sz w:val="24"/>
          <w:szCs w:val="24"/>
          <w:rtl/>
        </w:rPr>
        <w:t xml:space="preserve"> שלושת התנאים שנקבעו בפסיקה</w:t>
      </w:r>
      <w:r w:rsidR="008858B1">
        <w:rPr>
          <w:rFonts w:hint="cs"/>
          <w:sz w:val="24"/>
          <w:szCs w:val="24"/>
          <w:rtl/>
        </w:rPr>
        <w:t xml:space="preserve"> קבע בית המשפט כי אין מדובר בתניית הפחדה</w:t>
      </w:r>
      <w:r>
        <w:rPr>
          <w:sz w:val="24"/>
          <w:szCs w:val="24"/>
          <w:vertAlign w:val="superscript"/>
          <w:rtl/>
        </w:rPr>
        <w:footnoteReference w:id="35"/>
      </w:r>
      <w:r w:rsidR="008858B1" w:rsidRPr="008858B1">
        <w:rPr>
          <w:rFonts w:hint="cs"/>
          <w:sz w:val="24"/>
          <w:szCs w:val="24"/>
          <w:rtl/>
        </w:rPr>
        <w:t xml:space="preserve"> </w:t>
      </w:r>
      <w:r w:rsidR="008858B1">
        <w:rPr>
          <w:rFonts w:hint="cs"/>
          <w:sz w:val="24"/>
          <w:szCs w:val="24"/>
          <w:rtl/>
        </w:rPr>
        <w:t>אך ביטל אותה בשל פגיעתה ב</w:t>
      </w:r>
      <w:r w:rsidRPr="00ED4D4B">
        <w:rPr>
          <w:rFonts w:hint="cs"/>
          <w:sz w:val="24"/>
          <w:szCs w:val="24"/>
          <w:rtl/>
        </w:rPr>
        <w:t>תקנת הציבור</w:t>
      </w:r>
      <w:r w:rsidR="008858B1">
        <w:rPr>
          <w:rFonts w:hint="cs"/>
          <w:sz w:val="24"/>
          <w:szCs w:val="24"/>
          <w:rtl/>
        </w:rPr>
        <w:t>. בית המשפט</w:t>
      </w:r>
      <w:r w:rsidRPr="00ED4D4B">
        <w:rPr>
          <w:rFonts w:hint="cs"/>
          <w:sz w:val="24"/>
          <w:szCs w:val="24"/>
          <w:rtl/>
        </w:rPr>
        <w:t xml:space="preserve"> נימק קביעתו כך:</w:t>
      </w:r>
      <w:r>
        <w:rPr>
          <w:rStyle w:val="a3"/>
          <w:sz w:val="24"/>
          <w:szCs w:val="24"/>
          <w:rtl/>
        </w:rPr>
        <w:footnoteReference w:id="36"/>
      </w:r>
    </w:p>
    <w:p w14:paraId="2253FB12" w14:textId="77777777" w:rsidR="002A19A7" w:rsidRPr="0067104A" w:rsidRDefault="002A19A7" w:rsidP="00CC26EC">
      <w:pPr>
        <w:spacing w:line="360" w:lineRule="auto"/>
        <w:ind w:firstLine="720"/>
        <w:jc w:val="both"/>
        <w:rPr>
          <w:sz w:val="24"/>
          <w:szCs w:val="24"/>
          <w:rtl/>
        </w:rPr>
      </w:pPr>
    </w:p>
    <w:p w14:paraId="0AD3B6BC" w14:textId="77777777" w:rsidR="0034790B" w:rsidRPr="00ED4D4B" w:rsidRDefault="00CE7BBB" w:rsidP="00A02CE7">
      <w:pPr>
        <w:pStyle w:val="ad"/>
        <w:bidi w:val="0"/>
        <w:spacing w:line="360" w:lineRule="auto"/>
        <w:ind w:left="851" w:right="851"/>
        <w:jc w:val="both"/>
        <w:rPr>
          <w:rFonts w:eastAsiaTheme="minorHAnsi" w:cs="Times New Roman"/>
          <w:sz w:val="24"/>
          <w:szCs w:val="24"/>
        </w:rPr>
      </w:pPr>
      <w:r w:rsidRPr="00ED4D4B">
        <w:rPr>
          <w:rFonts w:eastAsiaTheme="minorHAnsi" w:cs="Times New Roman"/>
          <w:sz w:val="24"/>
          <w:szCs w:val="24"/>
        </w:rPr>
        <w:t>"It is important to the public as a whole that widows, widowers and children be at liberty to apply for adequate maintenance and support in the event that sufficient provision for them is not made in the will of their spouse or parent."</w:t>
      </w:r>
    </w:p>
    <w:p w14:paraId="771611ED" w14:textId="77777777" w:rsidR="0034790B" w:rsidRPr="00ED4D4B" w:rsidRDefault="0034790B" w:rsidP="0034790B">
      <w:pPr>
        <w:spacing w:line="360" w:lineRule="auto"/>
        <w:jc w:val="both"/>
        <w:rPr>
          <w:i/>
          <w:iCs/>
          <w:sz w:val="24"/>
          <w:szCs w:val="24"/>
          <w:rtl/>
        </w:rPr>
      </w:pPr>
    </w:p>
    <w:p w14:paraId="24BAA3D1" w14:textId="6C61C5CF" w:rsidR="00ED4D4B" w:rsidRDefault="00CE7BBB" w:rsidP="00084C3B">
      <w:pPr>
        <w:spacing w:line="360" w:lineRule="auto"/>
        <w:jc w:val="both"/>
        <w:rPr>
          <w:sz w:val="24"/>
          <w:szCs w:val="24"/>
          <w:rtl/>
        </w:rPr>
      </w:pPr>
      <w:r>
        <w:rPr>
          <w:rFonts w:hint="cs"/>
          <w:sz w:val="24"/>
          <w:szCs w:val="24"/>
          <w:rtl/>
        </w:rPr>
        <w:t>פעמים ביטלו בתי המשפט בקנדה תנ</w:t>
      </w:r>
      <w:r w:rsidR="00CC7AD7">
        <w:rPr>
          <w:rFonts w:hint="cs"/>
          <w:sz w:val="24"/>
          <w:szCs w:val="24"/>
          <w:rtl/>
        </w:rPr>
        <w:t>י</w:t>
      </w:r>
      <w:r>
        <w:rPr>
          <w:rFonts w:hint="cs"/>
          <w:sz w:val="24"/>
          <w:szCs w:val="24"/>
          <w:rtl/>
        </w:rPr>
        <w:t xml:space="preserve">ית סילוקין </w:t>
      </w:r>
      <w:r w:rsidR="00084C3B">
        <w:rPr>
          <w:rFonts w:hint="cs"/>
          <w:sz w:val="24"/>
          <w:szCs w:val="24"/>
          <w:rtl/>
        </w:rPr>
        <w:t xml:space="preserve">בעת ובעונה אחת </w:t>
      </w:r>
      <w:r>
        <w:rPr>
          <w:rFonts w:hint="cs"/>
          <w:sz w:val="24"/>
          <w:szCs w:val="24"/>
          <w:rtl/>
        </w:rPr>
        <w:t>הן בשל כך שהתקיימו התנאים להיות</w:t>
      </w:r>
      <w:r w:rsidR="00CC7AD7">
        <w:rPr>
          <w:rFonts w:hint="cs"/>
          <w:sz w:val="24"/>
          <w:szCs w:val="24"/>
          <w:rtl/>
        </w:rPr>
        <w:t>ה</w:t>
      </w:r>
      <w:r>
        <w:rPr>
          <w:rFonts w:hint="cs"/>
          <w:sz w:val="24"/>
          <w:szCs w:val="24"/>
          <w:rtl/>
        </w:rPr>
        <w:t xml:space="preserve"> תנ</w:t>
      </w:r>
      <w:r w:rsidR="002D60DE">
        <w:rPr>
          <w:rFonts w:hint="cs"/>
          <w:sz w:val="24"/>
          <w:szCs w:val="24"/>
          <w:rtl/>
        </w:rPr>
        <w:t>י</w:t>
      </w:r>
      <w:r>
        <w:rPr>
          <w:rFonts w:hint="cs"/>
          <w:sz w:val="24"/>
          <w:szCs w:val="24"/>
          <w:rtl/>
        </w:rPr>
        <w:t xml:space="preserve">ית הפחדה </w:t>
      </w:r>
      <w:r w:rsidR="00084C3B">
        <w:rPr>
          <w:rFonts w:hint="cs"/>
          <w:sz w:val="24"/>
          <w:szCs w:val="24"/>
          <w:rtl/>
        </w:rPr>
        <w:t>ו</w:t>
      </w:r>
      <w:r>
        <w:rPr>
          <w:rFonts w:hint="cs"/>
          <w:sz w:val="24"/>
          <w:szCs w:val="24"/>
          <w:rtl/>
        </w:rPr>
        <w:t>הן מהטעם שנגד</w:t>
      </w:r>
      <w:r w:rsidR="00CC7AD7">
        <w:rPr>
          <w:rFonts w:hint="cs"/>
          <w:sz w:val="24"/>
          <w:szCs w:val="24"/>
          <w:rtl/>
        </w:rPr>
        <w:t>ה</w:t>
      </w:r>
      <w:r>
        <w:rPr>
          <w:rFonts w:hint="cs"/>
          <w:sz w:val="24"/>
          <w:szCs w:val="24"/>
          <w:rtl/>
        </w:rPr>
        <w:t xml:space="preserve"> את </w:t>
      </w:r>
      <w:r w:rsidR="0034790B" w:rsidRPr="00ED4D4B">
        <w:rPr>
          <w:rFonts w:hint="cs"/>
          <w:sz w:val="24"/>
          <w:szCs w:val="24"/>
          <w:rtl/>
        </w:rPr>
        <w:t xml:space="preserve">תקנת הציבור. דוגמה למקרה זה הוא פסק דינו של בית המשפט העליון בקולומביה הבריטית בעניין </w:t>
      </w:r>
      <w:r w:rsidR="0034790B" w:rsidRPr="00BE52DC">
        <w:rPr>
          <w:rFonts w:asciiTheme="majorBidi" w:eastAsiaTheme="minorHAnsi" w:hAnsiTheme="majorBidi" w:cstheme="majorBidi"/>
          <w:b/>
          <w:bCs/>
          <w:i/>
          <w:iCs/>
          <w:sz w:val="24"/>
          <w:szCs w:val="24"/>
        </w:rPr>
        <w:t>Bellinger</w:t>
      </w:r>
      <w:r w:rsidR="0034790B" w:rsidRPr="00ED4D4B">
        <w:rPr>
          <w:rFonts w:hint="cs"/>
          <w:sz w:val="24"/>
          <w:szCs w:val="24"/>
          <w:rtl/>
        </w:rPr>
        <w:t>,</w:t>
      </w:r>
      <w:r>
        <w:rPr>
          <w:rStyle w:val="a3"/>
          <w:sz w:val="24"/>
          <w:szCs w:val="24"/>
          <w:rtl/>
        </w:rPr>
        <w:footnoteReference w:id="37"/>
      </w:r>
      <w:r w:rsidR="0034790B" w:rsidRPr="00ED4D4B">
        <w:rPr>
          <w:rFonts w:hint="cs"/>
          <w:sz w:val="24"/>
          <w:szCs w:val="24"/>
          <w:rtl/>
        </w:rPr>
        <w:t xml:space="preserve"> בו נדו</w:t>
      </w:r>
      <w:r>
        <w:rPr>
          <w:rFonts w:hint="cs"/>
          <w:sz w:val="24"/>
          <w:szCs w:val="24"/>
          <w:rtl/>
        </w:rPr>
        <w:t>ן</w:t>
      </w:r>
      <w:r w:rsidR="0034790B" w:rsidRPr="00ED4D4B">
        <w:rPr>
          <w:rFonts w:hint="cs"/>
          <w:sz w:val="24"/>
          <w:szCs w:val="24"/>
          <w:rtl/>
        </w:rPr>
        <w:t xml:space="preserve"> </w:t>
      </w:r>
      <w:r>
        <w:rPr>
          <w:rFonts w:hint="cs"/>
          <w:sz w:val="24"/>
          <w:szCs w:val="24"/>
          <w:rtl/>
        </w:rPr>
        <w:t xml:space="preserve">תוקפה </w:t>
      </w:r>
      <w:r w:rsidR="00500FAE">
        <w:rPr>
          <w:rFonts w:hint="cs"/>
          <w:sz w:val="24"/>
          <w:szCs w:val="24"/>
          <w:rtl/>
        </w:rPr>
        <w:t xml:space="preserve">של </w:t>
      </w:r>
      <w:r w:rsidR="0034790B" w:rsidRPr="00ED4D4B">
        <w:rPr>
          <w:rFonts w:hint="cs"/>
          <w:sz w:val="24"/>
          <w:szCs w:val="24"/>
          <w:rtl/>
        </w:rPr>
        <w:t>תניית הסילוקין הבאה:</w:t>
      </w:r>
    </w:p>
    <w:p w14:paraId="436BDF7F" w14:textId="77777777" w:rsidR="002A19A7" w:rsidRPr="00ED4D4B" w:rsidRDefault="002A19A7" w:rsidP="00257B4E">
      <w:pPr>
        <w:spacing w:line="360" w:lineRule="auto"/>
        <w:jc w:val="both"/>
        <w:rPr>
          <w:rFonts w:eastAsiaTheme="minorHAnsi" w:cs="Times New Roman"/>
          <w:sz w:val="24"/>
          <w:szCs w:val="24"/>
          <w:rtl/>
        </w:rPr>
      </w:pPr>
    </w:p>
    <w:p w14:paraId="1C69EB59" w14:textId="77777777" w:rsidR="0034790B" w:rsidRPr="00ED4D4B" w:rsidRDefault="00CE7BBB" w:rsidP="00CC7AD7">
      <w:pPr>
        <w:bidi w:val="0"/>
        <w:spacing w:line="360" w:lineRule="auto"/>
        <w:ind w:left="851" w:right="851"/>
        <w:jc w:val="both"/>
        <w:rPr>
          <w:sz w:val="24"/>
          <w:szCs w:val="24"/>
        </w:rPr>
      </w:pPr>
      <w:r w:rsidRPr="00ED4D4B">
        <w:rPr>
          <w:rFonts w:eastAsiaTheme="minorHAnsi" w:cs="Times New Roman"/>
          <w:sz w:val="24"/>
          <w:szCs w:val="24"/>
        </w:rPr>
        <w:t>"IT IS MY FURTHER DESIRE, because of an expressed intention of one of the legatees to contest the terms of this my Will, that should any person do so then he or she shall forfeit any legacy he or she may be otherwise entitled to."</w:t>
      </w:r>
    </w:p>
    <w:p w14:paraId="26767180" w14:textId="77777777" w:rsidR="0034790B" w:rsidRPr="00ED4D4B" w:rsidRDefault="0034790B" w:rsidP="0034790B">
      <w:pPr>
        <w:spacing w:line="360" w:lineRule="auto"/>
        <w:jc w:val="both"/>
        <w:rPr>
          <w:sz w:val="24"/>
          <w:szCs w:val="24"/>
          <w:rtl/>
        </w:rPr>
      </w:pPr>
    </w:p>
    <w:p w14:paraId="28ED0FDF" w14:textId="77777777" w:rsidR="00ED4D4B" w:rsidRDefault="00CE7BBB" w:rsidP="00CC26EC">
      <w:pPr>
        <w:spacing w:line="360" w:lineRule="auto"/>
        <w:jc w:val="both"/>
        <w:rPr>
          <w:sz w:val="24"/>
          <w:szCs w:val="24"/>
          <w:rtl/>
        </w:rPr>
      </w:pPr>
      <w:r>
        <w:rPr>
          <w:rFonts w:hint="cs"/>
          <w:sz w:val="24"/>
          <w:szCs w:val="24"/>
          <w:rtl/>
        </w:rPr>
        <w:t xml:space="preserve">בית המשפט קבע כי בנסיבות העניין מדובר בתניית הפחדה הנעדרת תוקף, אך הוסיף כי ניסוחה הרחב מונע כל אפשרות פנייה לערכאות </w:t>
      </w:r>
      <w:r w:rsidR="00CC26EC">
        <w:rPr>
          <w:rFonts w:hint="cs"/>
          <w:sz w:val="24"/>
          <w:szCs w:val="24"/>
          <w:rtl/>
        </w:rPr>
        <w:t>ובשל כך מוצדק לבטלה גם בשל פגיעתה ב</w:t>
      </w:r>
      <w:r w:rsidR="0034790B" w:rsidRPr="00ED4D4B">
        <w:rPr>
          <w:rFonts w:hint="cs"/>
          <w:sz w:val="24"/>
          <w:szCs w:val="24"/>
          <w:rtl/>
        </w:rPr>
        <w:t xml:space="preserve">תקנת הציבור. </w:t>
      </w:r>
    </w:p>
    <w:p w14:paraId="2986A5B8" w14:textId="43469399" w:rsidR="0034790B" w:rsidRPr="00ED4D4B" w:rsidRDefault="00CE7BBB" w:rsidP="00562AF4">
      <w:pPr>
        <w:spacing w:line="360" w:lineRule="auto"/>
        <w:ind w:firstLine="360"/>
        <w:jc w:val="both"/>
        <w:rPr>
          <w:sz w:val="24"/>
          <w:szCs w:val="24"/>
          <w:rtl/>
        </w:rPr>
      </w:pPr>
      <w:r w:rsidRPr="00ED4D4B">
        <w:rPr>
          <w:rFonts w:hint="cs"/>
          <w:sz w:val="24"/>
          <w:szCs w:val="24"/>
          <w:rtl/>
        </w:rPr>
        <w:t xml:space="preserve">פסקי הדין בעניין </w:t>
      </w:r>
      <w:r w:rsidRPr="00BE52DC">
        <w:rPr>
          <w:b/>
          <w:bCs/>
          <w:i/>
          <w:iCs/>
          <w:sz w:val="24"/>
          <w:szCs w:val="24"/>
        </w:rPr>
        <w:t>Kent</w:t>
      </w:r>
      <w:r w:rsidRPr="00ED4D4B">
        <w:rPr>
          <w:rFonts w:hint="cs"/>
          <w:i/>
          <w:iCs/>
          <w:sz w:val="24"/>
          <w:szCs w:val="24"/>
          <w:rtl/>
        </w:rPr>
        <w:t xml:space="preserve"> </w:t>
      </w:r>
      <w:r w:rsidRPr="00ED4D4B">
        <w:rPr>
          <w:rFonts w:hint="cs"/>
          <w:sz w:val="24"/>
          <w:szCs w:val="24"/>
          <w:rtl/>
        </w:rPr>
        <w:t>ובעניין</w:t>
      </w:r>
      <w:r w:rsidRPr="00BE52DC">
        <w:rPr>
          <w:b/>
          <w:bCs/>
          <w:sz w:val="24"/>
          <w:szCs w:val="24"/>
          <w:rtl/>
        </w:rPr>
        <w:t xml:space="preserve"> </w:t>
      </w:r>
      <w:r w:rsidRPr="00BE52DC">
        <w:rPr>
          <w:rFonts w:asciiTheme="majorBidi" w:eastAsiaTheme="minorHAnsi" w:hAnsiTheme="majorBidi" w:cstheme="majorBidi"/>
          <w:b/>
          <w:bCs/>
          <w:i/>
          <w:iCs/>
          <w:sz w:val="24"/>
          <w:szCs w:val="24"/>
        </w:rPr>
        <w:t>Bellinger</w:t>
      </w:r>
      <w:r w:rsidRPr="00ED4D4B">
        <w:rPr>
          <w:rFonts w:hint="cs"/>
          <w:sz w:val="24"/>
          <w:szCs w:val="24"/>
          <w:rtl/>
        </w:rPr>
        <w:t xml:space="preserve"> מדגימים כיצד בתי המשפט בקנדה משתמשים בתקנת הציבור כמכשיר לביטול תוקפן של תניות סילוקין מסוימות. התוקף </w:t>
      </w:r>
      <w:r w:rsidR="00512FE4">
        <w:rPr>
          <w:rFonts w:hint="cs"/>
          <w:sz w:val="24"/>
          <w:szCs w:val="24"/>
          <w:rtl/>
        </w:rPr>
        <w:t xml:space="preserve">במקרה זה אינו נשלל בשל </w:t>
      </w:r>
      <w:r w:rsidR="00F04ECE">
        <w:rPr>
          <w:rFonts w:hint="cs"/>
          <w:sz w:val="24"/>
          <w:szCs w:val="24"/>
          <w:rtl/>
        </w:rPr>
        <w:t xml:space="preserve">עצם </w:t>
      </w:r>
      <w:r w:rsidRPr="00ED4D4B">
        <w:rPr>
          <w:rFonts w:hint="cs"/>
          <w:sz w:val="24"/>
          <w:szCs w:val="24"/>
          <w:rtl/>
        </w:rPr>
        <w:t xml:space="preserve">קיומה של תניית הסילוקין, אלא </w:t>
      </w:r>
      <w:r w:rsidR="00512FE4">
        <w:rPr>
          <w:rFonts w:hint="cs"/>
          <w:sz w:val="24"/>
          <w:szCs w:val="24"/>
          <w:rtl/>
        </w:rPr>
        <w:t>בשל פגיעתה ב</w:t>
      </w:r>
      <w:r w:rsidRPr="00ED4D4B">
        <w:rPr>
          <w:rFonts w:hint="cs"/>
          <w:sz w:val="24"/>
          <w:szCs w:val="24"/>
          <w:rtl/>
        </w:rPr>
        <w:t>ער</w:t>
      </w:r>
      <w:r w:rsidR="00512FE4">
        <w:rPr>
          <w:rFonts w:hint="cs"/>
          <w:sz w:val="24"/>
          <w:szCs w:val="24"/>
          <w:rtl/>
        </w:rPr>
        <w:t>כים</w:t>
      </w:r>
      <w:r w:rsidRPr="00ED4D4B">
        <w:rPr>
          <w:rFonts w:hint="cs"/>
          <w:sz w:val="24"/>
          <w:szCs w:val="24"/>
          <w:rtl/>
        </w:rPr>
        <w:t xml:space="preserve"> חברתי</w:t>
      </w:r>
      <w:r w:rsidR="00512FE4">
        <w:rPr>
          <w:rFonts w:hint="cs"/>
          <w:sz w:val="24"/>
          <w:szCs w:val="24"/>
          <w:rtl/>
        </w:rPr>
        <w:t>ים</w:t>
      </w:r>
      <w:r w:rsidRPr="00ED4D4B">
        <w:rPr>
          <w:rFonts w:hint="cs"/>
          <w:sz w:val="24"/>
          <w:szCs w:val="24"/>
          <w:rtl/>
        </w:rPr>
        <w:t xml:space="preserve"> </w:t>
      </w:r>
      <w:r w:rsidR="00512FE4">
        <w:rPr>
          <w:rFonts w:hint="cs"/>
          <w:sz w:val="24"/>
          <w:szCs w:val="24"/>
          <w:rtl/>
        </w:rPr>
        <w:t>חשובים כגון</w:t>
      </w:r>
      <w:r w:rsidRPr="00ED4D4B">
        <w:rPr>
          <w:rFonts w:hint="cs"/>
          <w:sz w:val="24"/>
          <w:szCs w:val="24"/>
          <w:rtl/>
        </w:rPr>
        <w:t xml:space="preserve"> </w:t>
      </w:r>
      <w:r w:rsidR="00512FE4">
        <w:rPr>
          <w:rFonts w:hint="cs"/>
          <w:sz w:val="24"/>
          <w:szCs w:val="24"/>
          <w:rtl/>
        </w:rPr>
        <w:t>ההגנה על</w:t>
      </w:r>
      <w:r w:rsidRPr="00ED4D4B">
        <w:rPr>
          <w:rFonts w:hint="cs"/>
          <w:sz w:val="24"/>
          <w:szCs w:val="24"/>
          <w:rtl/>
        </w:rPr>
        <w:t xml:space="preserve"> אלמנים, אלמנות או יתומים. באופן זה, </w:t>
      </w:r>
      <w:proofErr w:type="spellStart"/>
      <w:r w:rsidRPr="00ED4D4B">
        <w:rPr>
          <w:rFonts w:hint="cs"/>
          <w:sz w:val="24"/>
          <w:szCs w:val="24"/>
          <w:rtl/>
        </w:rPr>
        <w:t>תנייה</w:t>
      </w:r>
      <w:proofErr w:type="spellEnd"/>
      <w:r w:rsidRPr="00ED4D4B">
        <w:rPr>
          <w:rFonts w:hint="cs"/>
          <w:sz w:val="24"/>
          <w:szCs w:val="24"/>
          <w:rtl/>
        </w:rPr>
        <w:t xml:space="preserve"> המנוסחת באופן רחב</w:t>
      </w:r>
      <w:r w:rsidR="00084C3B">
        <w:rPr>
          <w:rFonts w:hint="cs"/>
          <w:sz w:val="24"/>
          <w:szCs w:val="24"/>
          <w:rtl/>
        </w:rPr>
        <w:t>,</w:t>
      </w:r>
      <w:r w:rsidRPr="00ED4D4B">
        <w:rPr>
          <w:rFonts w:hint="cs"/>
          <w:sz w:val="24"/>
          <w:szCs w:val="24"/>
          <w:rtl/>
        </w:rPr>
        <w:t xml:space="preserve"> המונע כל אפשרות לפנות לבית המשפט, עשויה כשלעצמה לעמוד בניגוד לתקנת הציבור ולהיות בטלה.</w:t>
      </w:r>
      <w:r w:rsidR="00F04ECE">
        <w:rPr>
          <w:rFonts w:hint="cs"/>
          <w:sz w:val="24"/>
          <w:szCs w:val="24"/>
          <w:rtl/>
        </w:rPr>
        <w:t xml:space="preserve"> במצב משפטי זה, מסווג הטיפול בתניית סילוקין שאינה מוכרת כתניית הפחדה תחת </w:t>
      </w:r>
      <w:r w:rsidR="00F04ECE" w:rsidRPr="0005728F">
        <w:rPr>
          <w:rFonts w:hint="eastAsia"/>
          <w:b/>
          <w:bCs/>
          <w:sz w:val="24"/>
          <w:szCs w:val="24"/>
          <w:rtl/>
        </w:rPr>
        <w:t>מודל</w:t>
      </w:r>
      <w:r w:rsidR="00F04ECE" w:rsidRPr="0005728F">
        <w:rPr>
          <w:b/>
          <w:bCs/>
          <w:sz w:val="24"/>
          <w:szCs w:val="24"/>
          <w:rtl/>
        </w:rPr>
        <w:t xml:space="preserve"> </w:t>
      </w:r>
      <w:r w:rsidR="00512FE4" w:rsidRPr="0005728F">
        <w:rPr>
          <w:rFonts w:hint="eastAsia"/>
          <w:b/>
          <w:bCs/>
          <w:sz w:val="24"/>
          <w:szCs w:val="24"/>
          <w:rtl/>
        </w:rPr>
        <w:t>התוקף</w:t>
      </w:r>
      <w:r w:rsidR="00512FE4" w:rsidRPr="0005728F">
        <w:rPr>
          <w:b/>
          <w:bCs/>
          <w:sz w:val="24"/>
          <w:szCs w:val="24"/>
          <w:rtl/>
        </w:rPr>
        <w:t xml:space="preserve"> </w:t>
      </w:r>
      <w:r w:rsidR="00F04ECE" w:rsidRPr="0005728F">
        <w:rPr>
          <w:rFonts w:hint="eastAsia"/>
          <w:b/>
          <w:bCs/>
          <w:sz w:val="24"/>
          <w:szCs w:val="24"/>
          <w:rtl/>
        </w:rPr>
        <w:t>המותנה</w:t>
      </w:r>
      <w:r w:rsidR="00F04ECE">
        <w:rPr>
          <w:rFonts w:hint="cs"/>
          <w:sz w:val="24"/>
          <w:szCs w:val="24"/>
          <w:rtl/>
        </w:rPr>
        <w:t xml:space="preserve">, שכן בית המשפט </w:t>
      </w:r>
      <w:r w:rsidR="00512FE4">
        <w:rPr>
          <w:rFonts w:hint="cs"/>
          <w:sz w:val="24"/>
          <w:szCs w:val="24"/>
          <w:rtl/>
        </w:rPr>
        <w:t xml:space="preserve">מעניק לתנייה תוקף </w:t>
      </w:r>
      <w:r w:rsidR="00384B2A">
        <w:rPr>
          <w:rFonts w:hint="cs"/>
          <w:sz w:val="24"/>
          <w:szCs w:val="24"/>
          <w:rtl/>
        </w:rPr>
        <w:t xml:space="preserve">בכפוף לאפשרות ביטולה בשל מגבלות בלתי ראויות שהיא </w:t>
      </w:r>
      <w:r w:rsidR="00F04ECE">
        <w:rPr>
          <w:rFonts w:hint="cs"/>
          <w:sz w:val="24"/>
          <w:szCs w:val="24"/>
          <w:rtl/>
        </w:rPr>
        <w:t>מטילה על הנהנה.</w:t>
      </w:r>
      <w:r w:rsidR="00384B2A">
        <w:rPr>
          <w:rFonts w:hint="cs"/>
          <w:sz w:val="24"/>
          <w:szCs w:val="24"/>
          <w:rtl/>
        </w:rPr>
        <w:t xml:space="preserve"> </w:t>
      </w:r>
    </w:p>
    <w:p w14:paraId="5EBD2A9B" w14:textId="59B85F34" w:rsidR="0000757E" w:rsidRPr="00ED4D4B" w:rsidRDefault="00CE7BBB" w:rsidP="00D16FD2">
      <w:pPr>
        <w:spacing w:line="360" w:lineRule="auto"/>
        <w:jc w:val="both"/>
        <w:rPr>
          <w:sz w:val="24"/>
          <w:szCs w:val="24"/>
          <w:rtl/>
        </w:rPr>
      </w:pPr>
      <w:r>
        <w:rPr>
          <w:rFonts w:hint="cs"/>
          <w:sz w:val="24"/>
          <w:szCs w:val="24"/>
          <w:rtl/>
        </w:rPr>
        <w:t xml:space="preserve">  </w:t>
      </w:r>
      <w:r w:rsidR="0034790B" w:rsidRPr="00ED4D4B">
        <w:rPr>
          <w:rFonts w:hint="cs"/>
          <w:sz w:val="24"/>
          <w:szCs w:val="24"/>
          <w:rtl/>
        </w:rPr>
        <w:t xml:space="preserve">   </w:t>
      </w:r>
    </w:p>
    <w:p w14:paraId="156CBF80" w14:textId="77777777" w:rsidR="00772B5C" w:rsidRPr="006340A2" w:rsidRDefault="00CE7BBB" w:rsidP="008D47F6">
      <w:pPr>
        <w:pStyle w:val="ad"/>
        <w:numPr>
          <w:ilvl w:val="0"/>
          <w:numId w:val="11"/>
        </w:numPr>
        <w:spacing w:line="360" w:lineRule="auto"/>
        <w:jc w:val="both"/>
        <w:rPr>
          <w:b/>
          <w:bCs/>
          <w:sz w:val="24"/>
          <w:szCs w:val="24"/>
        </w:rPr>
      </w:pPr>
      <w:r w:rsidRPr="006340A2">
        <w:rPr>
          <w:rFonts w:hint="cs"/>
          <w:b/>
          <w:bCs/>
          <w:sz w:val="24"/>
          <w:szCs w:val="24"/>
          <w:rtl/>
        </w:rPr>
        <w:t xml:space="preserve">סיכום </w:t>
      </w:r>
      <w:r w:rsidR="0016255B" w:rsidRPr="006340A2">
        <w:rPr>
          <w:rFonts w:hint="cs"/>
          <w:b/>
          <w:bCs/>
          <w:sz w:val="24"/>
          <w:szCs w:val="24"/>
          <w:rtl/>
        </w:rPr>
        <w:t>המשפט המשווה</w:t>
      </w:r>
    </w:p>
    <w:p w14:paraId="07FB51CB" w14:textId="77777777" w:rsidR="008D47F6" w:rsidRPr="00ED4D4B" w:rsidRDefault="008D47F6" w:rsidP="008D47F6">
      <w:pPr>
        <w:pStyle w:val="ad"/>
        <w:spacing w:line="360" w:lineRule="auto"/>
        <w:ind w:left="360"/>
        <w:jc w:val="both"/>
        <w:rPr>
          <w:sz w:val="24"/>
          <w:szCs w:val="24"/>
        </w:rPr>
      </w:pPr>
    </w:p>
    <w:p w14:paraId="4F7D8660" w14:textId="059933F8" w:rsidR="00B460C1" w:rsidRPr="00ED4D4B" w:rsidRDefault="00CE7BBB" w:rsidP="00BE52DC">
      <w:pPr>
        <w:spacing w:line="360" w:lineRule="auto"/>
        <w:ind w:hanging="58"/>
        <w:jc w:val="both"/>
        <w:rPr>
          <w:sz w:val="24"/>
          <w:szCs w:val="24"/>
          <w:rtl/>
        </w:rPr>
      </w:pPr>
      <w:r>
        <w:rPr>
          <w:rFonts w:hint="cs"/>
          <w:sz w:val="24"/>
          <w:szCs w:val="24"/>
          <w:rtl/>
        </w:rPr>
        <w:t xml:space="preserve"> </w:t>
      </w:r>
      <w:r w:rsidR="00C63FD3">
        <w:rPr>
          <w:rFonts w:hint="cs"/>
          <w:sz w:val="24"/>
          <w:szCs w:val="24"/>
          <w:rtl/>
        </w:rPr>
        <w:t>כפי שעלה מהסקירה המשווה, ב</w:t>
      </w:r>
      <w:r w:rsidR="000D558D">
        <w:rPr>
          <w:rFonts w:hint="cs"/>
          <w:sz w:val="24"/>
          <w:szCs w:val="24"/>
          <w:rtl/>
        </w:rPr>
        <w:t>מדינות השונות ב</w:t>
      </w:r>
      <w:r w:rsidR="00C63FD3">
        <w:rPr>
          <w:rFonts w:hint="cs"/>
          <w:sz w:val="24"/>
          <w:szCs w:val="24"/>
          <w:rtl/>
        </w:rPr>
        <w:t xml:space="preserve">ארצות הברית ניתן למצוא דוגמאות </w:t>
      </w:r>
      <w:r w:rsidR="000D558D">
        <w:rPr>
          <w:rFonts w:hint="cs"/>
          <w:sz w:val="24"/>
          <w:szCs w:val="24"/>
          <w:rtl/>
        </w:rPr>
        <w:t>לאימוץ של כל אחד מארבעת המודלים. כאמור</w:t>
      </w:r>
      <w:r>
        <w:rPr>
          <w:rFonts w:hint="cs"/>
          <w:sz w:val="24"/>
          <w:szCs w:val="24"/>
          <w:rtl/>
        </w:rPr>
        <w:t>,</w:t>
      </w:r>
      <w:r w:rsidR="000D558D">
        <w:rPr>
          <w:rFonts w:hint="cs"/>
          <w:sz w:val="24"/>
          <w:szCs w:val="24"/>
          <w:rtl/>
        </w:rPr>
        <w:t xml:space="preserve"> רק במיעוט מקרב המדינות אומצו </w:t>
      </w:r>
      <w:r w:rsidR="00763055">
        <w:rPr>
          <w:rFonts w:hint="cs"/>
          <w:sz w:val="24"/>
          <w:szCs w:val="24"/>
          <w:rtl/>
        </w:rPr>
        <w:t>מודל העדר התוקף או מודל התוקף הבלתי מסויג</w:t>
      </w:r>
      <w:r w:rsidR="000D558D">
        <w:rPr>
          <w:rFonts w:hint="cs"/>
          <w:sz w:val="24"/>
          <w:szCs w:val="24"/>
          <w:rtl/>
        </w:rPr>
        <w:t xml:space="preserve"> (שתי מדינות ואחת עשר</w:t>
      </w:r>
      <w:r>
        <w:rPr>
          <w:rFonts w:hint="cs"/>
          <w:sz w:val="24"/>
          <w:szCs w:val="24"/>
          <w:rtl/>
        </w:rPr>
        <w:t>ה</w:t>
      </w:r>
      <w:r w:rsidR="000D558D">
        <w:rPr>
          <w:rFonts w:hint="cs"/>
          <w:sz w:val="24"/>
          <w:szCs w:val="24"/>
          <w:rtl/>
        </w:rPr>
        <w:t xml:space="preserve"> מדינות בהתאמה). לדעתנו, שני מודלים אלה אינם משקפים את האיזון הראוי בין </w:t>
      </w:r>
      <w:r w:rsidR="00BA1ADC" w:rsidRPr="00ED4D4B">
        <w:rPr>
          <w:rFonts w:hint="cs"/>
          <w:sz w:val="24"/>
          <w:szCs w:val="24"/>
          <w:rtl/>
        </w:rPr>
        <w:t xml:space="preserve">זכותו של המצווה </w:t>
      </w:r>
      <w:r w:rsidR="008D4084">
        <w:rPr>
          <w:rFonts w:hint="cs"/>
          <w:sz w:val="24"/>
          <w:szCs w:val="24"/>
          <w:rtl/>
        </w:rPr>
        <w:t xml:space="preserve">לקבוע בצוואה תנאים כרצונו </w:t>
      </w:r>
      <w:r w:rsidR="00BA1ADC" w:rsidRPr="00ED4D4B">
        <w:rPr>
          <w:rFonts w:hint="cs"/>
          <w:sz w:val="24"/>
          <w:szCs w:val="24"/>
          <w:rtl/>
        </w:rPr>
        <w:t>לבין זכותו של היורש לפנות לערכאות</w:t>
      </w:r>
      <w:r w:rsidR="000D558D">
        <w:rPr>
          <w:rFonts w:hint="cs"/>
          <w:sz w:val="24"/>
          <w:szCs w:val="24"/>
          <w:rtl/>
        </w:rPr>
        <w:t xml:space="preserve"> כנגד הצוואה</w:t>
      </w:r>
      <w:r w:rsidR="00763055">
        <w:rPr>
          <w:rFonts w:hint="cs"/>
          <w:sz w:val="24"/>
          <w:szCs w:val="24"/>
          <w:rtl/>
        </w:rPr>
        <w:t xml:space="preserve">. </w:t>
      </w:r>
      <w:r w:rsidR="000D558D">
        <w:rPr>
          <w:rFonts w:hint="cs"/>
          <w:sz w:val="24"/>
          <w:szCs w:val="24"/>
          <w:rtl/>
        </w:rPr>
        <w:t xml:space="preserve">מודל העדר התוקף מעניק משקל נמוך מדי (למעשה משקל אפס) לרצונו של המצווה, ואילו מודל התוקף הבלתי מסויג מעניק משקל נמוך מדי </w:t>
      </w:r>
      <w:r w:rsidR="00C061A1">
        <w:rPr>
          <w:rFonts w:hint="cs"/>
          <w:sz w:val="24"/>
          <w:szCs w:val="24"/>
          <w:rtl/>
        </w:rPr>
        <w:t xml:space="preserve">(למעשה משקל אפס) </w:t>
      </w:r>
      <w:r w:rsidR="000D558D">
        <w:rPr>
          <w:rFonts w:hint="cs"/>
          <w:sz w:val="24"/>
          <w:szCs w:val="24"/>
          <w:rtl/>
        </w:rPr>
        <w:t xml:space="preserve">לזכותו של הנהנה לפנות לערכאות כנגד הצוואה. </w:t>
      </w:r>
      <w:r w:rsidR="00763055">
        <w:rPr>
          <w:rFonts w:hint="cs"/>
          <w:sz w:val="24"/>
          <w:szCs w:val="24"/>
          <w:rtl/>
        </w:rPr>
        <w:t>הסדרת מעמדן של תניות סילוקין בחקיקה, באמצעות אימוץ מודל המבטא גישה קיצונית, אינו הפתרון המתאים לטיפול בסוגיית תניות הסילוקין</w:t>
      </w:r>
      <w:r w:rsidR="00BA1ADC" w:rsidRPr="00ED4D4B">
        <w:rPr>
          <w:rFonts w:hint="cs"/>
          <w:sz w:val="24"/>
          <w:szCs w:val="24"/>
          <w:rtl/>
        </w:rPr>
        <w:t>.</w:t>
      </w:r>
      <w:r w:rsidR="00161EFF">
        <w:rPr>
          <w:rFonts w:hint="cs"/>
          <w:sz w:val="24"/>
          <w:szCs w:val="24"/>
          <w:rtl/>
        </w:rPr>
        <w:t xml:space="preserve"> </w:t>
      </w:r>
      <w:r w:rsidR="00C061A1">
        <w:rPr>
          <w:rFonts w:hint="cs"/>
          <w:sz w:val="24"/>
          <w:szCs w:val="24"/>
          <w:rtl/>
        </w:rPr>
        <w:t xml:space="preserve">לדעתנו, </w:t>
      </w:r>
      <w:r w:rsidR="00161EFF">
        <w:rPr>
          <w:rFonts w:hint="cs"/>
          <w:sz w:val="24"/>
          <w:szCs w:val="24"/>
          <w:rtl/>
        </w:rPr>
        <w:t>הגישה הרווחת ב</w:t>
      </w:r>
      <w:r w:rsidR="00C061A1">
        <w:rPr>
          <w:rFonts w:hint="cs"/>
          <w:sz w:val="24"/>
          <w:szCs w:val="24"/>
          <w:rtl/>
        </w:rPr>
        <w:t>קרב רוב המדינות ב</w:t>
      </w:r>
      <w:r w:rsidR="00161EFF">
        <w:rPr>
          <w:rFonts w:hint="cs"/>
          <w:sz w:val="24"/>
          <w:szCs w:val="24"/>
          <w:rtl/>
        </w:rPr>
        <w:t>ארצות הברית</w:t>
      </w:r>
      <w:r>
        <w:rPr>
          <w:rFonts w:hint="cs"/>
          <w:sz w:val="24"/>
          <w:szCs w:val="24"/>
          <w:rtl/>
        </w:rPr>
        <w:t>,</w:t>
      </w:r>
      <w:r w:rsidR="00161EFF">
        <w:rPr>
          <w:rFonts w:hint="cs"/>
          <w:sz w:val="24"/>
          <w:szCs w:val="24"/>
          <w:rtl/>
        </w:rPr>
        <w:t xml:space="preserve"> </w:t>
      </w:r>
      <w:r w:rsidR="00763055">
        <w:rPr>
          <w:rFonts w:hint="cs"/>
          <w:sz w:val="24"/>
          <w:szCs w:val="24"/>
          <w:rtl/>
        </w:rPr>
        <w:t xml:space="preserve">המאמצת את </w:t>
      </w:r>
      <w:r w:rsidR="008D4084" w:rsidRPr="00637B2B">
        <w:rPr>
          <w:rFonts w:hint="cs"/>
          <w:b/>
          <w:bCs/>
          <w:sz w:val="24"/>
          <w:szCs w:val="24"/>
          <w:rtl/>
        </w:rPr>
        <w:t>מודל ההפעלה המותנית</w:t>
      </w:r>
      <w:r w:rsidR="00161EFF">
        <w:rPr>
          <w:rFonts w:hint="cs"/>
          <w:sz w:val="24"/>
          <w:szCs w:val="24"/>
          <w:rtl/>
        </w:rPr>
        <w:t xml:space="preserve">, </w:t>
      </w:r>
      <w:r w:rsidR="00C061A1">
        <w:rPr>
          <w:rFonts w:hint="cs"/>
          <w:sz w:val="24"/>
          <w:szCs w:val="24"/>
          <w:rtl/>
        </w:rPr>
        <w:t xml:space="preserve">משקפת את האיזון הראוי </w:t>
      </w:r>
      <w:r w:rsidR="00D71944">
        <w:rPr>
          <w:rFonts w:hint="cs"/>
          <w:sz w:val="24"/>
          <w:szCs w:val="24"/>
          <w:rtl/>
        </w:rPr>
        <w:t xml:space="preserve">בין הזכויות המתנגשות. בהתאם לגישה זו, מימוש רצון המצווה </w:t>
      </w:r>
      <w:r w:rsidR="00637B2B">
        <w:rPr>
          <w:rFonts w:hint="cs"/>
          <w:sz w:val="24"/>
          <w:szCs w:val="24"/>
          <w:rtl/>
        </w:rPr>
        <w:t xml:space="preserve">זוכה למשקל </w:t>
      </w:r>
      <w:r w:rsidR="00C061A1">
        <w:rPr>
          <w:rFonts w:hint="cs"/>
          <w:sz w:val="24"/>
          <w:szCs w:val="24"/>
          <w:rtl/>
        </w:rPr>
        <w:t>רב</w:t>
      </w:r>
      <w:r w:rsidR="00D71944">
        <w:rPr>
          <w:rFonts w:hint="cs"/>
          <w:sz w:val="24"/>
          <w:szCs w:val="24"/>
          <w:rtl/>
        </w:rPr>
        <w:t xml:space="preserve"> אך </w:t>
      </w:r>
      <w:r w:rsidR="00C061A1">
        <w:rPr>
          <w:rFonts w:hint="cs"/>
          <w:sz w:val="24"/>
          <w:szCs w:val="24"/>
          <w:rtl/>
        </w:rPr>
        <w:t xml:space="preserve">לא </w:t>
      </w:r>
      <w:r w:rsidR="00D71944">
        <w:rPr>
          <w:rFonts w:hint="cs"/>
          <w:sz w:val="24"/>
          <w:szCs w:val="24"/>
          <w:rtl/>
        </w:rPr>
        <w:t>בלתי מוגבל, ו</w:t>
      </w:r>
      <w:r w:rsidR="00637B2B">
        <w:rPr>
          <w:rFonts w:hint="cs"/>
          <w:sz w:val="24"/>
          <w:szCs w:val="24"/>
          <w:rtl/>
        </w:rPr>
        <w:t xml:space="preserve">כאשר תקיפת הצוואה נעשית בעילה סבירה נסוג ערך זה מפני </w:t>
      </w:r>
      <w:r w:rsidR="001435F9">
        <w:rPr>
          <w:rFonts w:hint="cs"/>
          <w:sz w:val="24"/>
          <w:szCs w:val="24"/>
          <w:rtl/>
        </w:rPr>
        <w:t xml:space="preserve">זכותו של </w:t>
      </w:r>
      <w:r w:rsidR="00637B2B">
        <w:rPr>
          <w:rFonts w:hint="cs"/>
          <w:sz w:val="24"/>
          <w:szCs w:val="24"/>
          <w:rtl/>
        </w:rPr>
        <w:t>ה</w:t>
      </w:r>
      <w:r w:rsidR="001435F9">
        <w:rPr>
          <w:rFonts w:hint="cs"/>
          <w:sz w:val="24"/>
          <w:szCs w:val="24"/>
          <w:rtl/>
        </w:rPr>
        <w:t>נהנה לפנות לערכאות</w:t>
      </w:r>
      <w:r w:rsidR="00D71944">
        <w:rPr>
          <w:rFonts w:hint="cs"/>
          <w:sz w:val="24"/>
          <w:szCs w:val="24"/>
          <w:rtl/>
        </w:rPr>
        <w:t xml:space="preserve">. </w:t>
      </w:r>
      <w:r w:rsidR="00D2646A">
        <w:rPr>
          <w:rFonts w:hint="cs"/>
          <w:sz w:val="24"/>
          <w:szCs w:val="24"/>
          <w:rtl/>
        </w:rPr>
        <w:t xml:space="preserve">גם הגישה </w:t>
      </w:r>
      <w:r w:rsidR="00103DB9">
        <w:rPr>
          <w:rFonts w:hint="cs"/>
          <w:sz w:val="24"/>
          <w:szCs w:val="24"/>
          <w:rtl/>
        </w:rPr>
        <w:t>שננקטה בפסיקה הקנדית</w:t>
      </w:r>
      <w:r>
        <w:rPr>
          <w:rFonts w:hint="cs"/>
          <w:sz w:val="24"/>
          <w:szCs w:val="24"/>
          <w:rtl/>
        </w:rPr>
        <w:t>,</w:t>
      </w:r>
      <w:r w:rsidR="00103DB9">
        <w:rPr>
          <w:rFonts w:hint="cs"/>
          <w:sz w:val="24"/>
          <w:szCs w:val="24"/>
          <w:rtl/>
        </w:rPr>
        <w:t xml:space="preserve"> אשר אימצה את </w:t>
      </w:r>
      <w:r w:rsidR="00637B2B" w:rsidRPr="00637B2B">
        <w:rPr>
          <w:rFonts w:hint="cs"/>
          <w:b/>
          <w:bCs/>
          <w:sz w:val="24"/>
          <w:szCs w:val="24"/>
          <w:rtl/>
        </w:rPr>
        <w:t>מודל התוקף המותנה</w:t>
      </w:r>
      <w:r>
        <w:rPr>
          <w:rFonts w:hint="cs"/>
          <w:b/>
          <w:bCs/>
          <w:sz w:val="24"/>
          <w:szCs w:val="24"/>
          <w:rtl/>
        </w:rPr>
        <w:t>,</w:t>
      </w:r>
      <w:r w:rsidR="00637B2B">
        <w:rPr>
          <w:rFonts w:hint="cs"/>
          <w:sz w:val="24"/>
          <w:szCs w:val="24"/>
          <w:rtl/>
        </w:rPr>
        <w:t xml:space="preserve"> </w:t>
      </w:r>
      <w:r w:rsidR="00D2646A">
        <w:rPr>
          <w:rFonts w:hint="cs"/>
          <w:sz w:val="24"/>
          <w:szCs w:val="24"/>
          <w:rtl/>
        </w:rPr>
        <w:t>מוצדקת בקשר לתניות סילוקין מסוימות</w:t>
      </w:r>
      <w:r w:rsidR="00103DB9">
        <w:rPr>
          <w:rFonts w:hint="cs"/>
          <w:sz w:val="24"/>
          <w:szCs w:val="24"/>
          <w:rtl/>
        </w:rPr>
        <w:t>.</w:t>
      </w:r>
      <w:r w:rsidR="00D2646A">
        <w:rPr>
          <w:rFonts w:hint="cs"/>
          <w:sz w:val="24"/>
          <w:szCs w:val="24"/>
          <w:rtl/>
        </w:rPr>
        <w:t xml:space="preserve"> </w:t>
      </w:r>
      <w:r w:rsidR="00103DB9">
        <w:rPr>
          <w:rFonts w:hint="cs"/>
          <w:sz w:val="24"/>
          <w:szCs w:val="24"/>
          <w:rtl/>
        </w:rPr>
        <w:t>ה</w:t>
      </w:r>
      <w:r w:rsidR="001435F9">
        <w:rPr>
          <w:rFonts w:hint="cs"/>
          <w:sz w:val="24"/>
          <w:szCs w:val="24"/>
          <w:rtl/>
        </w:rPr>
        <w:t>פסיקה הקנדית</w:t>
      </w:r>
      <w:r w:rsidR="00637B2B">
        <w:rPr>
          <w:rFonts w:hint="cs"/>
          <w:sz w:val="24"/>
          <w:szCs w:val="24"/>
          <w:rtl/>
        </w:rPr>
        <w:t xml:space="preserve"> במסגרתה</w:t>
      </w:r>
      <w:r w:rsidR="00BA1ADC" w:rsidRPr="00ED4D4B">
        <w:rPr>
          <w:rFonts w:hint="cs"/>
          <w:sz w:val="24"/>
          <w:szCs w:val="24"/>
          <w:rtl/>
        </w:rPr>
        <w:t xml:space="preserve"> נעשה שימוש בתקנת הציבור</w:t>
      </w:r>
      <w:r w:rsidR="00103DB9">
        <w:rPr>
          <w:rFonts w:hint="cs"/>
          <w:sz w:val="24"/>
          <w:szCs w:val="24"/>
          <w:rtl/>
        </w:rPr>
        <w:t>, כמבחן עצמאי,</w:t>
      </w:r>
      <w:r w:rsidR="00BA1ADC" w:rsidRPr="00ED4D4B">
        <w:rPr>
          <w:rFonts w:hint="cs"/>
          <w:sz w:val="24"/>
          <w:szCs w:val="24"/>
          <w:rtl/>
        </w:rPr>
        <w:t xml:space="preserve"> על מנת ליצור איזון במקרה קונקרטי מאפשרת את הגמישות הנדרשת</w:t>
      </w:r>
      <w:r w:rsidR="00617CB5" w:rsidRPr="00ED4D4B">
        <w:rPr>
          <w:rFonts w:hint="cs"/>
          <w:sz w:val="24"/>
          <w:szCs w:val="24"/>
          <w:rtl/>
        </w:rPr>
        <w:t xml:space="preserve"> </w:t>
      </w:r>
      <w:r w:rsidR="00103DB9">
        <w:rPr>
          <w:rFonts w:hint="cs"/>
          <w:sz w:val="24"/>
          <w:szCs w:val="24"/>
          <w:rtl/>
        </w:rPr>
        <w:t>ביצירת איזון ראוי בין הזכויות המתנגשות</w:t>
      </w:r>
      <w:r w:rsidR="00617CB5" w:rsidRPr="00ED4D4B">
        <w:rPr>
          <w:rFonts w:hint="cs"/>
          <w:sz w:val="24"/>
          <w:szCs w:val="24"/>
          <w:rtl/>
        </w:rPr>
        <w:t>.</w:t>
      </w:r>
      <w:r>
        <w:rPr>
          <w:rStyle w:val="a3"/>
          <w:sz w:val="24"/>
          <w:szCs w:val="24"/>
          <w:rtl/>
        </w:rPr>
        <w:footnoteReference w:id="38"/>
      </w:r>
      <w:r w:rsidR="00103DB9">
        <w:rPr>
          <w:rFonts w:hint="cs"/>
          <w:sz w:val="24"/>
          <w:szCs w:val="24"/>
          <w:rtl/>
        </w:rPr>
        <w:t xml:space="preserve"> השימוש במבחן תקנת הציבור</w:t>
      </w:r>
      <w:r>
        <w:rPr>
          <w:rFonts w:hint="cs"/>
          <w:sz w:val="24"/>
          <w:szCs w:val="24"/>
          <w:rtl/>
        </w:rPr>
        <w:t>,</w:t>
      </w:r>
      <w:r w:rsidR="00103DB9">
        <w:rPr>
          <w:rFonts w:hint="cs"/>
          <w:sz w:val="24"/>
          <w:szCs w:val="24"/>
          <w:rtl/>
        </w:rPr>
        <w:t xml:space="preserve"> לשם הכרעה בשאלת תוקפה של תניית סילוקין</w:t>
      </w:r>
      <w:r>
        <w:rPr>
          <w:rFonts w:hint="cs"/>
          <w:sz w:val="24"/>
          <w:szCs w:val="24"/>
          <w:rtl/>
        </w:rPr>
        <w:t>,</w:t>
      </w:r>
      <w:r w:rsidR="00103DB9">
        <w:rPr>
          <w:rFonts w:hint="cs"/>
          <w:sz w:val="24"/>
          <w:szCs w:val="24"/>
          <w:rtl/>
        </w:rPr>
        <w:t xml:space="preserve"> מאפשר לבית המשפט לפסול תניות בשל המגבלות שהן מטילות, מבלי להידרש לבחינת התנהלותו של הנהנה אשר פונה לערכאות או להכרעה בטענות של הנהנה לגופן. בכך, </w:t>
      </w:r>
      <w:r w:rsidR="00875C20">
        <w:rPr>
          <w:rFonts w:hint="cs"/>
          <w:sz w:val="24"/>
          <w:szCs w:val="24"/>
          <w:rtl/>
        </w:rPr>
        <w:t>מתאפשר ל</w:t>
      </w:r>
      <w:r w:rsidR="00103DB9">
        <w:rPr>
          <w:rFonts w:hint="cs"/>
          <w:sz w:val="24"/>
          <w:szCs w:val="24"/>
          <w:rtl/>
        </w:rPr>
        <w:t xml:space="preserve">נהנה לפנות לערכאות על מנת לחשוף צוואות הנגועות באי-חוקיות (לדוגמה בשל זיוף או השפעה פסולה), </w:t>
      </w:r>
      <w:r w:rsidR="00875C20">
        <w:rPr>
          <w:rFonts w:hint="cs"/>
          <w:sz w:val="24"/>
          <w:szCs w:val="24"/>
          <w:rtl/>
        </w:rPr>
        <w:t>ללא</w:t>
      </w:r>
      <w:r w:rsidR="00103DB9">
        <w:rPr>
          <w:rFonts w:hint="cs"/>
          <w:sz w:val="24"/>
          <w:szCs w:val="24"/>
          <w:rtl/>
        </w:rPr>
        <w:t xml:space="preserve"> החשש ש</w:t>
      </w:r>
      <w:r w:rsidR="00875C20">
        <w:rPr>
          <w:rFonts w:hint="cs"/>
          <w:sz w:val="24"/>
          <w:szCs w:val="24"/>
          <w:rtl/>
        </w:rPr>
        <w:t xml:space="preserve">הגשת תביעה תגרום לאיבוד </w:t>
      </w:r>
      <w:r w:rsidR="00103DB9">
        <w:rPr>
          <w:rFonts w:hint="cs"/>
          <w:sz w:val="24"/>
          <w:szCs w:val="24"/>
          <w:rtl/>
        </w:rPr>
        <w:t>חלקו</w:t>
      </w:r>
      <w:r w:rsidR="00875C20">
        <w:rPr>
          <w:rFonts w:hint="cs"/>
          <w:sz w:val="24"/>
          <w:szCs w:val="24"/>
          <w:rtl/>
        </w:rPr>
        <w:t xml:space="preserve"> בירושה</w:t>
      </w:r>
      <w:r w:rsidR="00103DB9">
        <w:rPr>
          <w:rFonts w:hint="cs"/>
          <w:sz w:val="24"/>
          <w:szCs w:val="24"/>
          <w:rtl/>
        </w:rPr>
        <w:t>.</w:t>
      </w:r>
      <w:r w:rsidR="00CD5865">
        <w:rPr>
          <w:rFonts w:hint="cs"/>
          <w:sz w:val="24"/>
          <w:szCs w:val="24"/>
          <w:rtl/>
        </w:rPr>
        <w:t xml:space="preserve"> עם זאת, דחיית מודל ההפעלה המותנית, קרי התעלמות מוחלטת מהתנהלותו של הנהנה, אינה הפתרון המיטבי שכן היא עשויה לאפשר מניפולציות מצד נהנים ולהגביר את הניסיונות לסכל את רצון המצווה.</w:t>
      </w:r>
      <w:r w:rsidR="00103DB9">
        <w:rPr>
          <w:rFonts w:hint="cs"/>
          <w:sz w:val="24"/>
          <w:szCs w:val="24"/>
          <w:rtl/>
        </w:rPr>
        <w:t xml:space="preserve"> </w:t>
      </w:r>
      <w:r w:rsidR="008E2DA2">
        <w:rPr>
          <w:rFonts w:hint="cs"/>
          <w:sz w:val="24"/>
          <w:szCs w:val="24"/>
          <w:rtl/>
        </w:rPr>
        <w:t xml:space="preserve">לדעתנו, </w:t>
      </w:r>
      <w:r w:rsidR="00103DB9">
        <w:rPr>
          <w:rFonts w:hint="cs"/>
          <w:sz w:val="24"/>
          <w:szCs w:val="24"/>
          <w:rtl/>
        </w:rPr>
        <w:t xml:space="preserve">האופן המיטבי </w:t>
      </w:r>
      <w:r w:rsidR="00875C20">
        <w:rPr>
          <w:rFonts w:hint="cs"/>
          <w:sz w:val="24"/>
          <w:szCs w:val="24"/>
          <w:rtl/>
        </w:rPr>
        <w:t xml:space="preserve">לטיפול </w:t>
      </w:r>
      <w:r w:rsidR="00103DB9">
        <w:rPr>
          <w:rFonts w:hint="cs"/>
          <w:sz w:val="24"/>
          <w:szCs w:val="24"/>
          <w:rtl/>
        </w:rPr>
        <w:t xml:space="preserve">בתניות סילוקין </w:t>
      </w:r>
      <w:r w:rsidR="00875C20">
        <w:rPr>
          <w:rFonts w:hint="cs"/>
          <w:sz w:val="24"/>
          <w:szCs w:val="24"/>
          <w:rtl/>
        </w:rPr>
        <w:t xml:space="preserve">הוא פתרון המשלב את </w:t>
      </w:r>
      <w:r w:rsidR="00103DB9">
        <w:rPr>
          <w:rFonts w:hint="cs"/>
          <w:sz w:val="24"/>
          <w:szCs w:val="24"/>
          <w:rtl/>
        </w:rPr>
        <w:t xml:space="preserve">מודל ההפעלה המותנית </w:t>
      </w:r>
      <w:r w:rsidR="00875C20">
        <w:rPr>
          <w:rFonts w:hint="cs"/>
          <w:sz w:val="24"/>
          <w:szCs w:val="24"/>
          <w:rtl/>
        </w:rPr>
        <w:t xml:space="preserve">ביחד עם </w:t>
      </w:r>
      <w:r w:rsidR="00103DB9">
        <w:rPr>
          <w:rFonts w:hint="cs"/>
          <w:sz w:val="24"/>
          <w:szCs w:val="24"/>
          <w:rtl/>
        </w:rPr>
        <w:t>מודל התוקף המותנה</w:t>
      </w:r>
      <w:r w:rsidR="008E2DA2">
        <w:rPr>
          <w:rFonts w:hint="cs"/>
          <w:sz w:val="24"/>
          <w:szCs w:val="24"/>
          <w:rtl/>
        </w:rPr>
        <w:t xml:space="preserve">. ראוי לאפשר לבית המשפט </w:t>
      </w:r>
      <w:r w:rsidR="00CD5865">
        <w:rPr>
          <w:rFonts w:hint="cs"/>
          <w:sz w:val="24"/>
          <w:szCs w:val="24"/>
          <w:rtl/>
        </w:rPr>
        <w:t xml:space="preserve">לבחון את התנהלות הנהנה במקרים מסוימים או לבחון את תניית הסילוקין לגופה במקרים מתאימים </w:t>
      </w:r>
      <w:r w:rsidR="008E2DA2">
        <w:rPr>
          <w:rFonts w:hint="cs"/>
          <w:sz w:val="24"/>
          <w:szCs w:val="24"/>
          <w:rtl/>
        </w:rPr>
        <w:t>אחרים</w:t>
      </w:r>
      <w:r w:rsidR="00CD5865">
        <w:rPr>
          <w:rFonts w:hint="cs"/>
          <w:sz w:val="24"/>
          <w:szCs w:val="24"/>
          <w:rtl/>
        </w:rPr>
        <w:t>.</w:t>
      </w:r>
      <w:r w:rsidR="00617CB5" w:rsidRPr="00ED4D4B">
        <w:rPr>
          <w:rFonts w:hint="cs"/>
          <w:sz w:val="24"/>
          <w:szCs w:val="24"/>
          <w:rtl/>
        </w:rPr>
        <w:t xml:space="preserve"> </w:t>
      </w:r>
      <w:r w:rsidR="00637B2B">
        <w:rPr>
          <w:rFonts w:hint="cs"/>
          <w:sz w:val="24"/>
          <w:szCs w:val="24"/>
          <w:rtl/>
        </w:rPr>
        <w:t>לאור תובנות אלו נפנה לבדוק את הדין בישראל.</w:t>
      </w:r>
      <w:r w:rsidR="00617CB5" w:rsidRPr="00ED4D4B">
        <w:rPr>
          <w:rFonts w:hint="cs"/>
          <w:sz w:val="24"/>
          <w:szCs w:val="24"/>
          <w:rtl/>
        </w:rPr>
        <w:t xml:space="preserve"> </w:t>
      </w:r>
      <w:r w:rsidR="00BA1ADC" w:rsidRPr="00ED4D4B">
        <w:rPr>
          <w:rFonts w:hint="cs"/>
          <w:sz w:val="24"/>
          <w:szCs w:val="24"/>
          <w:rtl/>
        </w:rPr>
        <w:t xml:space="preserve">   </w:t>
      </w:r>
    </w:p>
    <w:p w14:paraId="12007729" w14:textId="77777777" w:rsidR="00E714DF" w:rsidRPr="00ED4D4B" w:rsidRDefault="00E714DF" w:rsidP="004C343B">
      <w:pPr>
        <w:spacing w:line="360" w:lineRule="auto"/>
        <w:jc w:val="both"/>
        <w:rPr>
          <w:color w:val="FF0000"/>
          <w:sz w:val="24"/>
          <w:szCs w:val="24"/>
          <w:rtl/>
        </w:rPr>
      </w:pPr>
    </w:p>
    <w:p w14:paraId="36E810E6" w14:textId="77777777" w:rsidR="001A539B" w:rsidRPr="00BE52DC" w:rsidRDefault="00CE7BBB" w:rsidP="001A539B">
      <w:pPr>
        <w:pStyle w:val="filenumber0"/>
        <w:bidi/>
        <w:spacing w:beforeAutospacing="0" w:after="0" w:afterAutospacing="0" w:line="360" w:lineRule="auto"/>
        <w:jc w:val="both"/>
        <w:rPr>
          <w:rFonts w:cs="David"/>
          <w:b/>
          <w:bCs/>
          <w:rtl/>
        </w:rPr>
      </w:pPr>
      <w:r w:rsidRPr="00BE52DC">
        <w:rPr>
          <w:rFonts w:cs="David" w:hint="eastAsia"/>
          <w:b/>
          <w:bCs/>
          <w:rtl/>
        </w:rPr>
        <w:t>ד</w:t>
      </w:r>
      <w:r w:rsidRPr="00BE52DC">
        <w:rPr>
          <w:rFonts w:cs="David"/>
          <w:b/>
          <w:bCs/>
          <w:rtl/>
        </w:rPr>
        <w:t xml:space="preserve">. המשפט </w:t>
      </w:r>
      <w:r w:rsidR="0089308C" w:rsidRPr="00BE52DC">
        <w:rPr>
          <w:rFonts w:cs="David" w:hint="eastAsia"/>
          <w:b/>
          <w:bCs/>
          <w:rtl/>
        </w:rPr>
        <w:t>ה</w:t>
      </w:r>
      <w:r w:rsidRPr="00BE52DC">
        <w:rPr>
          <w:rFonts w:cs="David" w:hint="eastAsia"/>
          <w:b/>
          <w:bCs/>
          <w:rtl/>
        </w:rPr>
        <w:t>ישראלי</w:t>
      </w:r>
    </w:p>
    <w:p w14:paraId="7FDD1973" w14:textId="77777777" w:rsidR="00A02CE7" w:rsidRPr="00B533F2" w:rsidRDefault="00A02CE7" w:rsidP="00A02CE7">
      <w:pPr>
        <w:pStyle w:val="ad"/>
        <w:spacing w:line="360" w:lineRule="auto"/>
        <w:ind w:left="927"/>
        <w:jc w:val="both"/>
        <w:rPr>
          <w:sz w:val="24"/>
          <w:szCs w:val="24"/>
        </w:rPr>
      </w:pPr>
    </w:p>
    <w:p w14:paraId="60263F12" w14:textId="77777777" w:rsidR="001A539B" w:rsidRPr="002A19A7" w:rsidRDefault="00CE7BBB" w:rsidP="002A19A7">
      <w:pPr>
        <w:spacing w:line="360" w:lineRule="auto"/>
        <w:jc w:val="both"/>
        <w:rPr>
          <w:sz w:val="24"/>
          <w:szCs w:val="24"/>
        </w:rPr>
      </w:pPr>
      <w:r w:rsidRPr="006340A2">
        <w:rPr>
          <w:rFonts w:hint="cs"/>
          <w:b/>
          <w:bCs/>
          <w:sz w:val="24"/>
          <w:szCs w:val="24"/>
          <w:rtl/>
        </w:rPr>
        <w:t>1. תניית סילוקין במשפט הישראלי</w:t>
      </w:r>
    </w:p>
    <w:p w14:paraId="364E7DC4" w14:textId="77777777" w:rsidR="002A19A7" w:rsidRDefault="002A19A7" w:rsidP="00052BF7">
      <w:pPr>
        <w:spacing w:line="360" w:lineRule="auto"/>
        <w:jc w:val="both"/>
        <w:rPr>
          <w:sz w:val="24"/>
          <w:szCs w:val="24"/>
          <w:rtl/>
        </w:rPr>
      </w:pPr>
    </w:p>
    <w:p w14:paraId="7C3B9514" w14:textId="6582B2B6" w:rsidR="001A539B" w:rsidRPr="003C0B63" w:rsidRDefault="00CE7BBB" w:rsidP="00F42247">
      <w:pPr>
        <w:spacing w:line="360" w:lineRule="auto"/>
        <w:jc w:val="both"/>
        <w:rPr>
          <w:color w:val="FF0000"/>
          <w:sz w:val="24"/>
          <w:szCs w:val="24"/>
          <w:rtl/>
        </w:rPr>
      </w:pPr>
      <w:r w:rsidRPr="003C0B63">
        <w:rPr>
          <w:rFonts w:hint="cs"/>
          <w:sz w:val="24"/>
          <w:szCs w:val="24"/>
          <w:rtl/>
        </w:rPr>
        <w:t xml:space="preserve">סעיף 44(א) לחוק הירושה, התשכ"ה-1965 (להלן: </w:t>
      </w:r>
      <w:r w:rsidRPr="00BE52DC">
        <w:rPr>
          <w:rFonts w:hint="eastAsia"/>
          <w:b/>
          <w:bCs/>
          <w:sz w:val="24"/>
          <w:szCs w:val="24"/>
          <w:rtl/>
        </w:rPr>
        <w:t>חוק</w:t>
      </w:r>
      <w:r w:rsidRPr="00BE52DC">
        <w:rPr>
          <w:b/>
          <w:bCs/>
          <w:sz w:val="24"/>
          <w:szCs w:val="24"/>
          <w:rtl/>
        </w:rPr>
        <w:t xml:space="preserve"> </w:t>
      </w:r>
      <w:r w:rsidRPr="00BE52DC">
        <w:rPr>
          <w:rFonts w:hint="eastAsia"/>
          <w:b/>
          <w:bCs/>
          <w:sz w:val="24"/>
          <w:szCs w:val="24"/>
          <w:rtl/>
        </w:rPr>
        <w:t>הירושה</w:t>
      </w:r>
      <w:r w:rsidRPr="003C0B63">
        <w:rPr>
          <w:rFonts w:hint="cs"/>
          <w:sz w:val="24"/>
          <w:szCs w:val="24"/>
          <w:rtl/>
        </w:rPr>
        <w:t>), המאפשר לקבוע בצוואה "תנאי מפסיק", קובע כך: "המצווה רשאי לצוות שיורש יחדל מלזכות בהתקיים תנאי או בהגיע מועד".</w:t>
      </w:r>
      <w:r w:rsidR="00292BA6" w:rsidRPr="003C0B63">
        <w:rPr>
          <w:rFonts w:hint="cs"/>
          <w:sz w:val="24"/>
          <w:szCs w:val="24"/>
          <w:rtl/>
        </w:rPr>
        <w:t xml:space="preserve"> </w:t>
      </w:r>
      <w:r w:rsidR="00F42247">
        <w:rPr>
          <w:rFonts w:hint="cs"/>
          <w:sz w:val="24"/>
          <w:szCs w:val="24"/>
          <w:rtl/>
        </w:rPr>
        <w:t xml:space="preserve">דהיינו, </w:t>
      </w:r>
      <w:r w:rsidR="00292BA6" w:rsidRPr="003C0B63">
        <w:rPr>
          <w:sz w:val="24"/>
          <w:szCs w:val="24"/>
          <w:rtl/>
        </w:rPr>
        <w:t>תנאי מפסיק בצוואה הוא כל תנאי אשר קובע כי בהתקיים תנאי מסוים או בהגיע מועד מסוים, תפקע זכותו של היורש.</w:t>
      </w:r>
      <w:bookmarkStart w:id="9" w:name="_Ref497718369"/>
      <w:r>
        <w:rPr>
          <w:rStyle w:val="a3"/>
          <w:sz w:val="24"/>
          <w:szCs w:val="24"/>
          <w:rtl/>
        </w:rPr>
        <w:footnoteReference w:id="39"/>
      </w:r>
      <w:bookmarkEnd w:id="9"/>
      <w:r w:rsidRPr="003C0B63">
        <w:rPr>
          <w:rFonts w:hint="cs"/>
          <w:sz w:val="24"/>
          <w:szCs w:val="24"/>
          <w:rtl/>
        </w:rPr>
        <w:t xml:space="preserve"> תכליתו הכללית של סעיף 44(א) לחוק</w:t>
      </w:r>
      <w:r w:rsidR="008D47F6" w:rsidRPr="003C0B63">
        <w:rPr>
          <w:rFonts w:hint="cs"/>
          <w:sz w:val="24"/>
          <w:szCs w:val="24"/>
          <w:rtl/>
        </w:rPr>
        <w:t xml:space="preserve"> הירושה היא הגנה על רצון המצווה, תכלית ה</w:t>
      </w:r>
      <w:r w:rsidRPr="003C0B63">
        <w:rPr>
          <w:rFonts w:hint="cs"/>
          <w:sz w:val="24"/>
          <w:szCs w:val="24"/>
          <w:rtl/>
        </w:rPr>
        <w:t xml:space="preserve">מהווה עקרון יסוד בדיני הירושה. </w:t>
      </w:r>
      <w:r w:rsidR="00727935" w:rsidRPr="00727935">
        <w:rPr>
          <w:rFonts w:hint="cs"/>
          <w:sz w:val="24"/>
          <w:szCs w:val="24"/>
          <w:rtl/>
        </w:rPr>
        <w:t>על בסיס סעיף</w:t>
      </w:r>
      <w:r w:rsidR="00F42247">
        <w:rPr>
          <w:rFonts w:hint="cs"/>
          <w:sz w:val="24"/>
          <w:szCs w:val="24"/>
          <w:rtl/>
        </w:rPr>
        <w:t xml:space="preserve"> זה,</w:t>
      </w:r>
      <w:r w:rsidR="00727935" w:rsidRPr="00727935">
        <w:rPr>
          <w:rFonts w:hint="cs"/>
          <w:sz w:val="24"/>
          <w:szCs w:val="24"/>
          <w:rtl/>
        </w:rPr>
        <w:t xml:space="preserve"> יכול מוריש לכלול בצוואתו "תנאי מפסיק"</w:t>
      </w:r>
      <w:r w:rsidR="00F42247">
        <w:rPr>
          <w:rFonts w:hint="cs"/>
          <w:sz w:val="24"/>
          <w:szCs w:val="24"/>
          <w:rtl/>
        </w:rPr>
        <w:t>,</w:t>
      </w:r>
      <w:r w:rsidR="00727935" w:rsidRPr="00727935">
        <w:rPr>
          <w:rFonts w:hint="cs"/>
          <w:sz w:val="24"/>
          <w:szCs w:val="24"/>
          <w:rtl/>
        </w:rPr>
        <w:t xml:space="preserve"> לפיו נהנה אשר יתקוף את הצוואה יאבד את זכויותיו על פיה</w:t>
      </w:r>
      <w:r w:rsidRPr="003C0B63">
        <w:rPr>
          <w:rFonts w:hint="cs"/>
          <w:sz w:val="24"/>
          <w:szCs w:val="24"/>
          <w:rtl/>
        </w:rPr>
        <w:t xml:space="preserve"> וזאת כדי להגשים את רצונו למנוע מיורשיו את האפשרות לנסות להתערב בצוואה ולתקוף הוראות מסוימות הכלולות בה. </w:t>
      </w:r>
    </w:p>
    <w:p w14:paraId="7EE8577F" w14:textId="77777777" w:rsidR="001A539B" w:rsidRPr="003C0B63" w:rsidRDefault="001A539B" w:rsidP="001A539B">
      <w:pPr>
        <w:spacing w:line="360" w:lineRule="auto"/>
        <w:jc w:val="both"/>
        <w:rPr>
          <w:sz w:val="24"/>
          <w:szCs w:val="24"/>
          <w:rtl/>
        </w:rPr>
      </w:pPr>
    </w:p>
    <w:p w14:paraId="3271AA9C" w14:textId="77777777" w:rsidR="001A539B" w:rsidRPr="002A19A7" w:rsidRDefault="00CE7BBB" w:rsidP="002A19A7">
      <w:pPr>
        <w:spacing w:line="360" w:lineRule="auto"/>
        <w:jc w:val="both"/>
        <w:rPr>
          <w:sz w:val="24"/>
          <w:szCs w:val="24"/>
        </w:rPr>
      </w:pPr>
      <w:r w:rsidRPr="006340A2">
        <w:rPr>
          <w:rFonts w:hint="cs"/>
          <w:b/>
          <w:bCs/>
          <w:sz w:val="24"/>
          <w:szCs w:val="24"/>
          <w:rtl/>
        </w:rPr>
        <w:t xml:space="preserve">2. </w:t>
      </w:r>
      <w:r w:rsidR="00741169" w:rsidRPr="006340A2">
        <w:rPr>
          <w:rFonts w:hint="cs"/>
          <w:b/>
          <w:bCs/>
          <w:sz w:val="24"/>
          <w:szCs w:val="24"/>
          <w:rtl/>
        </w:rPr>
        <w:t>זכותו של המוריש: חופש הציווי</w:t>
      </w:r>
    </w:p>
    <w:p w14:paraId="4DAAE5BB" w14:textId="77777777" w:rsidR="002A19A7" w:rsidRDefault="002A19A7" w:rsidP="00CA2E8F">
      <w:pPr>
        <w:spacing w:line="360" w:lineRule="auto"/>
        <w:jc w:val="both"/>
        <w:rPr>
          <w:sz w:val="24"/>
          <w:szCs w:val="24"/>
          <w:rtl/>
        </w:rPr>
      </w:pPr>
    </w:p>
    <w:p w14:paraId="303C2694" w14:textId="11293AFD" w:rsidR="00C80B0B" w:rsidRDefault="00CE7BBB" w:rsidP="00F42247">
      <w:pPr>
        <w:spacing w:line="360" w:lineRule="auto"/>
        <w:jc w:val="both"/>
        <w:rPr>
          <w:sz w:val="24"/>
          <w:szCs w:val="24"/>
          <w:rtl/>
        </w:rPr>
      </w:pPr>
      <w:r w:rsidRPr="003C0B63">
        <w:rPr>
          <w:rFonts w:hint="cs"/>
          <w:sz w:val="24"/>
          <w:szCs w:val="24"/>
          <w:rtl/>
        </w:rPr>
        <w:t>הכלל שנקבע</w:t>
      </w:r>
      <w:r w:rsidR="00C108F1" w:rsidRPr="003C0B63">
        <w:rPr>
          <w:rFonts w:hint="cs"/>
          <w:sz w:val="24"/>
          <w:szCs w:val="24"/>
          <w:rtl/>
        </w:rPr>
        <w:t xml:space="preserve"> במשפט העברי</w:t>
      </w:r>
      <w:r w:rsidR="00DE3A65" w:rsidRPr="003C0B63">
        <w:rPr>
          <w:rFonts w:hint="cs"/>
          <w:sz w:val="24"/>
          <w:szCs w:val="24"/>
          <w:rtl/>
        </w:rPr>
        <w:t xml:space="preserve"> </w:t>
      </w:r>
      <w:r w:rsidR="00CA2E8F" w:rsidRPr="003C0B63">
        <w:rPr>
          <w:rFonts w:hint="cs"/>
          <w:sz w:val="24"/>
          <w:szCs w:val="24"/>
          <w:rtl/>
        </w:rPr>
        <w:t>ולפיו</w:t>
      </w:r>
      <w:r w:rsidR="00DE3A65" w:rsidRPr="003C0B63">
        <w:rPr>
          <w:rFonts w:hint="cs"/>
          <w:sz w:val="24"/>
          <w:szCs w:val="24"/>
          <w:rtl/>
        </w:rPr>
        <w:t xml:space="preserve"> "מצ</w:t>
      </w:r>
      <w:r w:rsidR="00F42247">
        <w:rPr>
          <w:rFonts w:hint="cs"/>
          <w:sz w:val="24"/>
          <w:szCs w:val="24"/>
          <w:rtl/>
        </w:rPr>
        <w:t>ו</w:t>
      </w:r>
      <w:r w:rsidR="00DE3A65" w:rsidRPr="003C0B63">
        <w:rPr>
          <w:rFonts w:hint="cs"/>
          <w:sz w:val="24"/>
          <w:szCs w:val="24"/>
          <w:rtl/>
        </w:rPr>
        <w:t>וה לקיים דברי המת",</w:t>
      </w:r>
      <w:r>
        <w:rPr>
          <w:rStyle w:val="a3"/>
          <w:sz w:val="24"/>
          <w:szCs w:val="24"/>
          <w:rtl/>
        </w:rPr>
        <w:footnoteReference w:id="40"/>
      </w:r>
      <w:r w:rsidR="00DE3A65" w:rsidRPr="003C0B63">
        <w:rPr>
          <w:rFonts w:hint="cs"/>
          <w:sz w:val="24"/>
          <w:szCs w:val="24"/>
          <w:rtl/>
        </w:rPr>
        <w:t xml:space="preserve"> נקלט במשפט הישראלי כעיקרון יסוד בדיני </w:t>
      </w:r>
      <w:r w:rsidR="00336EBD" w:rsidRPr="003C0B63">
        <w:rPr>
          <w:rFonts w:hint="cs"/>
          <w:sz w:val="24"/>
          <w:szCs w:val="24"/>
          <w:rtl/>
        </w:rPr>
        <w:t>הצוואות</w:t>
      </w:r>
      <w:r w:rsidR="008539D3" w:rsidRPr="003C0B63">
        <w:rPr>
          <w:rFonts w:hint="cs"/>
          <w:sz w:val="24"/>
          <w:szCs w:val="24"/>
          <w:rtl/>
        </w:rPr>
        <w:t>.</w:t>
      </w:r>
      <w:r>
        <w:rPr>
          <w:rStyle w:val="a3"/>
          <w:sz w:val="24"/>
          <w:szCs w:val="24"/>
          <w:rtl/>
        </w:rPr>
        <w:footnoteReference w:id="41"/>
      </w:r>
      <w:r w:rsidR="00DE3A65" w:rsidRPr="003C0B63">
        <w:rPr>
          <w:rFonts w:hint="cs"/>
          <w:sz w:val="24"/>
          <w:szCs w:val="24"/>
          <w:rtl/>
        </w:rPr>
        <w:t xml:space="preserve"> </w:t>
      </w:r>
      <w:r w:rsidRPr="003C0B63">
        <w:rPr>
          <w:rFonts w:hint="cs"/>
          <w:sz w:val="24"/>
          <w:szCs w:val="24"/>
          <w:rtl/>
        </w:rPr>
        <w:t xml:space="preserve">עיקרון זה שלוב בחופש הציווי הנתון למצווה ולפיו </w:t>
      </w:r>
      <w:r w:rsidR="00F42247">
        <w:rPr>
          <w:rFonts w:hint="cs"/>
          <w:sz w:val="24"/>
          <w:szCs w:val="24"/>
          <w:rtl/>
        </w:rPr>
        <w:t xml:space="preserve">הוא </w:t>
      </w:r>
      <w:r w:rsidRPr="003C0B63">
        <w:rPr>
          <w:rFonts w:hint="cs"/>
          <w:sz w:val="24"/>
          <w:szCs w:val="24"/>
          <w:rtl/>
        </w:rPr>
        <w:t>יכול לעצב את תוכן צוואתו כראות עינ</w:t>
      </w:r>
      <w:r w:rsidR="00F42247">
        <w:rPr>
          <w:rFonts w:hint="cs"/>
          <w:sz w:val="24"/>
          <w:szCs w:val="24"/>
          <w:rtl/>
        </w:rPr>
        <w:t>י</w:t>
      </w:r>
      <w:r w:rsidRPr="003C0B63">
        <w:rPr>
          <w:rFonts w:hint="cs"/>
          <w:sz w:val="24"/>
          <w:szCs w:val="24"/>
          <w:rtl/>
        </w:rPr>
        <w:t>ו.</w:t>
      </w:r>
      <w:r w:rsidR="005A2478" w:rsidRPr="003C0B63">
        <w:rPr>
          <w:rFonts w:hint="cs"/>
          <w:sz w:val="24"/>
          <w:szCs w:val="24"/>
          <w:rtl/>
        </w:rPr>
        <w:t xml:space="preserve"> אכן, "</w:t>
      </w:r>
      <w:r w:rsidR="005A2478" w:rsidRPr="003C0B63">
        <w:rPr>
          <w:sz w:val="24"/>
          <w:szCs w:val="24"/>
          <w:rtl/>
        </w:rPr>
        <w:t>החופש לצוות והמצווה לקיי</w:t>
      </w:r>
      <w:r w:rsidR="005A2478" w:rsidRPr="003C0B63">
        <w:rPr>
          <w:rFonts w:hint="cs"/>
          <w:sz w:val="24"/>
          <w:szCs w:val="24"/>
          <w:rtl/>
        </w:rPr>
        <w:t>ם</w:t>
      </w:r>
      <w:r w:rsidR="005A2478" w:rsidRPr="003C0B63">
        <w:rPr>
          <w:sz w:val="24"/>
          <w:szCs w:val="24"/>
        </w:rPr>
        <w:t xml:space="preserve"> </w:t>
      </w:r>
      <w:r w:rsidR="005A2478" w:rsidRPr="003C0B63">
        <w:rPr>
          <w:sz w:val="24"/>
          <w:szCs w:val="24"/>
          <w:rtl/>
        </w:rPr>
        <w:t>את רצו</w:t>
      </w:r>
      <w:r w:rsidR="00CA2E8F" w:rsidRPr="003C0B63">
        <w:rPr>
          <w:rFonts w:hint="cs"/>
          <w:sz w:val="24"/>
          <w:szCs w:val="24"/>
          <w:rtl/>
        </w:rPr>
        <w:t>ן</w:t>
      </w:r>
      <w:r w:rsidR="005A2478" w:rsidRPr="003C0B63">
        <w:rPr>
          <w:sz w:val="24"/>
          <w:szCs w:val="24"/>
          <w:rtl/>
        </w:rPr>
        <w:t xml:space="preserve"> המת – שני עבריה של אותה מטבע</w:t>
      </w:r>
      <w:r w:rsidR="005A2478" w:rsidRPr="003C0B63">
        <w:rPr>
          <w:rFonts w:hint="cs"/>
          <w:sz w:val="24"/>
          <w:szCs w:val="24"/>
          <w:rtl/>
        </w:rPr>
        <w:t>".</w:t>
      </w:r>
      <w:r>
        <w:rPr>
          <w:rStyle w:val="a3"/>
          <w:sz w:val="24"/>
          <w:szCs w:val="24"/>
          <w:rtl/>
        </w:rPr>
        <w:footnoteReference w:id="42"/>
      </w:r>
      <w:r w:rsidR="005A2478" w:rsidRPr="003C0B63">
        <w:rPr>
          <w:rFonts w:hint="cs"/>
          <w:sz w:val="24"/>
          <w:szCs w:val="24"/>
          <w:rtl/>
        </w:rPr>
        <w:t xml:space="preserve"> </w:t>
      </w:r>
      <w:r w:rsidR="002E6BB4" w:rsidRPr="003C0B63">
        <w:rPr>
          <w:rFonts w:hint="cs"/>
          <w:sz w:val="24"/>
          <w:szCs w:val="24"/>
          <w:rtl/>
        </w:rPr>
        <w:t>חופש הציווי נגזר מהאוטונומיה של הפרט</w:t>
      </w:r>
      <w:r w:rsidR="000F0B26" w:rsidRPr="003C0B63">
        <w:rPr>
          <w:rFonts w:hint="cs"/>
          <w:sz w:val="24"/>
          <w:szCs w:val="24"/>
          <w:rtl/>
        </w:rPr>
        <w:t>, הוא מהווה חלק מ"כבוד המת"</w:t>
      </w:r>
      <w:r w:rsidR="00F42247">
        <w:rPr>
          <w:rFonts w:hint="cs"/>
          <w:sz w:val="24"/>
          <w:szCs w:val="24"/>
          <w:rtl/>
        </w:rPr>
        <w:t>,</w:t>
      </w:r>
      <w:r w:rsidR="000F0B26" w:rsidRPr="003C0B63">
        <w:rPr>
          <w:rFonts w:hint="cs"/>
          <w:sz w:val="24"/>
          <w:szCs w:val="24"/>
          <w:rtl/>
        </w:rPr>
        <w:t xml:space="preserve"> השלוב בעיקרון הכללי של "כבוד האדם" המוכר כעקרון-על.</w:t>
      </w:r>
      <w:bookmarkStart w:id="10" w:name="_Ref497718704"/>
      <w:r>
        <w:rPr>
          <w:rStyle w:val="a3"/>
          <w:sz w:val="24"/>
          <w:szCs w:val="24"/>
          <w:rtl/>
        </w:rPr>
        <w:footnoteReference w:id="43"/>
      </w:r>
      <w:bookmarkEnd w:id="10"/>
      <w:r w:rsidR="0074483C" w:rsidRPr="003C0B63">
        <w:rPr>
          <w:rFonts w:hint="cs"/>
          <w:sz w:val="24"/>
          <w:szCs w:val="24"/>
          <w:rtl/>
        </w:rPr>
        <w:t xml:space="preserve"> חופש הציווי נגזר אף מזכותו של המצווה להורות מה ייעשה בממון שצבר במהלך חייו, ו</w:t>
      </w:r>
      <w:r w:rsidR="00727935">
        <w:rPr>
          <w:rFonts w:hint="cs"/>
          <w:sz w:val="24"/>
          <w:szCs w:val="24"/>
          <w:rtl/>
        </w:rPr>
        <w:t>ככזה הוא נגזר גם מ</w:t>
      </w:r>
      <w:r w:rsidR="0074483C" w:rsidRPr="003C0B63">
        <w:rPr>
          <w:rFonts w:hint="cs"/>
          <w:sz w:val="24"/>
          <w:szCs w:val="24"/>
          <w:rtl/>
        </w:rPr>
        <w:t xml:space="preserve">זכות </w:t>
      </w:r>
      <w:r w:rsidR="00727935">
        <w:rPr>
          <w:rFonts w:hint="cs"/>
          <w:sz w:val="24"/>
          <w:szCs w:val="24"/>
          <w:rtl/>
        </w:rPr>
        <w:t>ה</w:t>
      </w:r>
      <w:r w:rsidR="0074483C" w:rsidRPr="003C0B63">
        <w:rPr>
          <w:rFonts w:hint="cs"/>
          <w:sz w:val="24"/>
          <w:szCs w:val="24"/>
          <w:rtl/>
        </w:rPr>
        <w:t xml:space="preserve">קניין </w:t>
      </w:r>
      <w:r w:rsidR="00727935">
        <w:rPr>
          <w:rFonts w:hint="cs"/>
          <w:sz w:val="24"/>
          <w:szCs w:val="24"/>
          <w:rtl/>
        </w:rPr>
        <w:t>ה</w:t>
      </w:r>
      <w:r w:rsidR="0074483C" w:rsidRPr="003C0B63">
        <w:rPr>
          <w:rFonts w:hint="cs"/>
          <w:sz w:val="24"/>
          <w:szCs w:val="24"/>
          <w:rtl/>
        </w:rPr>
        <w:t>חוקתית.</w:t>
      </w:r>
      <w:r>
        <w:rPr>
          <w:rStyle w:val="a3"/>
          <w:sz w:val="24"/>
          <w:szCs w:val="24"/>
          <w:rtl/>
        </w:rPr>
        <w:footnoteReference w:id="44"/>
      </w:r>
      <w:r w:rsidR="008A279F" w:rsidRPr="003C0B63">
        <w:rPr>
          <w:rFonts w:hint="cs"/>
          <w:sz w:val="24"/>
          <w:szCs w:val="24"/>
          <w:rtl/>
        </w:rPr>
        <w:t xml:space="preserve"> כפי שציין הגל, חופש הציווי כולל את זכותו של מצווה לקבוע תנאים בהתאם לגחמותיו אף אם מדובר בתנאים שרירותיים, אוויל</w:t>
      </w:r>
      <w:r w:rsidR="00F42247">
        <w:rPr>
          <w:rFonts w:hint="cs"/>
          <w:sz w:val="24"/>
          <w:szCs w:val="24"/>
          <w:rtl/>
        </w:rPr>
        <w:t>י</w:t>
      </w:r>
      <w:r w:rsidR="008A279F" w:rsidRPr="003C0B63">
        <w:rPr>
          <w:rFonts w:hint="cs"/>
          <w:sz w:val="24"/>
          <w:szCs w:val="24"/>
          <w:rtl/>
        </w:rPr>
        <w:t xml:space="preserve">ים או נבזיים. </w:t>
      </w:r>
      <w:r w:rsidR="00727935">
        <w:rPr>
          <w:rFonts w:hint="cs"/>
          <w:sz w:val="24"/>
          <w:szCs w:val="24"/>
          <w:rtl/>
        </w:rPr>
        <w:t>באופן דומה</w:t>
      </w:r>
      <w:r w:rsidR="008A279F" w:rsidRPr="003C0B63">
        <w:rPr>
          <w:rFonts w:hint="cs"/>
          <w:sz w:val="24"/>
          <w:szCs w:val="24"/>
          <w:rtl/>
        </w:rPr>
        <w:t>, גם הדין הישראלי הכיר בכך ש"</w:t>
      </w:r>
      <w:r w:rsidR="008A279F" w:rsidRPr="003C0B63">
        <w:rPr>
          <w:sz w:val="24"/>
          <w:szCs w:val="24"/>
          <w:rtl/>
        </w:rPr>
        <w:t>נכבד רצונו של אדם בצוואתו, ויהא רצונו שרירותי, בלתי סביר, מקפח אף אכזרי ככל שיהיה</w:t>
      </w:r>
      <w:r w:rsidR="008A279F" w:rsidRPr="003C0B63">
        <w:rPr>
          <w:rFonts w:hint="cs"/>
          <w:sz w:val="24"/>
          <w:szCs w:val="24"/>
          <w:rtl/>
        </w:rPr>
        <w:t>".</w:t>
      </w:r>
      <w:r>
        <w:rPr>
          <w:rStyle w:val="a3"/>
          <w:sz w:val="24"/>
          <w:szCs w:val="24"/>
          <w:rtl/>
        </w:rPr>
        <w:footnoteReference w:id="45"/>
      </w:r>
      <w:r w:rsidR="00415106" w:rsidRPr="003C0B63">
        <w:rPr>
          <w:rFonts w:hint="cs"/>
          <w:sz w:val="24"/>
          <w:szCs w:val="24"/>
          <w:rtl/>
        </w:rPr>
        <w:t xml:space="preserve"> </w:t>
      </w:r>
    </w:p>
    <w:p w14:paraId="75C8C15E" w14:textId="77777777" w:rsidR="00D16FD2" w:rsidRPr="003C0B63" w:rsidRDefault="00D16FD2" w:rsidP="00F42247">
      <w:pPr>
        <w:spacing w:line="360" w:lineRule="auto"/>
        <w:jc w:val="both"/>
        <w:rPr>
          <w:sz w:val="24"/>
          <w:szCs w:val="24"/>
          <w:rtl/>
        </w:rPr>
      </w:pPr>
    </w:p>
    <w:p w14:paraId="0B4383B4" w14:textId="77777777" w:rsidR="00995CDB" w:rsidRPr="003C0B63" w:rsidRDefault="00995CDB" w:rsidP="001A539B">
      <w:pPr>
        <w:pStyle w:val="ad"/>
        <w:spacing w:line="360" w:lineRule="auto"/>
        <w:ind w:left="360"/>
        <w:jc w:val="both"/>
        <w:rPr>
          <w:sz w:val="24"/>
          <w:szCs w:val="24"/>
        </w:rPr>
      </w:pPr>
    </w:p>
    <w:p w14:paraId="38204AE9" w14:textId="77777777" w:rsidR="00243F8A" w:rsidRPr="002A19A7" w:rsidRDefault="00CE7BBB" w:rsidP="002A19A7">
      <w:pPr>
        <w:spacing w:line="360" w:lineRule="auto"/>
        <w:jc w:val="both"/>
        <w:rPr>
          <w:sz w:val="24"/>
          <w:szCs w:val="24"/>
          <w:rtl/>
        </w:rPr>
      </w:pPr>
      <w:r w:rsidRPr="006340A2">
        <w:rPr>
          <w:rFonts w:hint="cs"/>
          <w:b/>
          <w:bCs/>
          <w:sz w:val="24"/>
          <w:szCs w:val="24"/>
          <w:rtl/>
        </w:rPr>
        <w:t xml:space="preserve">3. </w:t>
      </w:r>
      <w:r w:rsidR="001A539B" w:rsidRPr="006340A2">
        <w:rPr>
          <w:rFonts w:hint="cs"/>
          <w:b/>
          <w:bCs/>
          <w:sz w:val="24"/>
          <w:szCs w:val="24"/>
          <w:rtl/>
        </w:rPr>
        <w:t>זכותו של הנהנה: זכות הגישה לערכאות</w:t>
      </w:r>
    </w:p>
    <w:p w14:paraId="49E6A12A" w14:textId="77777777" w:rsidR="002A19A7" w:rsidRDefault="002A19A7" w:rsidP="00D005D0">
      <w:pPr>
        <w:spacing w:line="360" w:lineRule="auto"/>
        <w:jc w:val="both"/>
        <w:rPr>
          <w:sz w:val="24"/>
          <w:szCs w:val="24"/>
          <w:rtl/>
        </w:rPr>
      </w:pPr>
    </w:p>
    <w:p w14:paraId="2FC19DE7" w14:textId="2B88036E" w:rsidR="00995CDB" w:rsidRPr="003C0B63" w:rsidRDefault="00CE7BBB" w:rsidP="00D005D0">
      <w:pPr>
        <w:spacing w:line="360" w:lineRule="auto"/>
        <w:jc w:val="both"/>
        <w:rPr>
          <w:rFonts w:ascii="David" w:hAnsi="David"/>
          <w:sz w:val="24"/>
          <w:szCs w:val="24"/>
          <w:rtl/>
        </w:rPr>
      </w:pPr>
      <w:r w:rsidRPr="003C0B63">
        <w:rPr>
          <w:rFonts w:hint="cs"/>
          <w:sz w:val="24"/>
          <w:szCs w:val="24"/>
          <w:rtl/>
        </w:rPr>
        <w:t>זכותו של אדם לפנות לערכאות מהווה כלי להגשמת הזכויות המהותיות המוקנות לו על</w:t>
      </w:r>
      <w:r w:rsidR="00F42247">
        <w:rPr>
          <w:rFonts w:hint="cs"/>
          <w:sz w:val="24"/>
          <w:szCs w:val="24"/>
          <w:rtl/>
        </w:rPr>
        <w:t xml:space="preserve"> </w:t>
      </w:r>
      <w:r w:rsidRPr="003C0B63">
        <w:rPr>
          <w:rFonts w:hint="cs"/>
          <w:sz w:val="24"/>
          <w:szCs w:val="24"/>
          <w:rtl/>
        </w:rPr>
        <w:t>פי חוק.</w:t>
      </w:r>
      <w:r>
        <w:rPr>
          <w:rStyle w:val="a3"/>
          <w:sz w:val="24"/>
          <w:szCs w:val="24"/>
          <w:rtl/>
        </w:rPr>
        <w:footnoteReference w:id="46"/>
      </w:r>
      <w:r w:rsidR="00D005D0" w:rsidRPr="003C0B63">
        <w:rPr>
          <w:rFonts w:hint="cs"/>
          <w:sz w:val="24"/>
          <w:szCs w:val="24"/>
          <w:rtl/>
        </w:rPr>
        <w:t xml:space="preserve"> כך הדבר גם בנוגע למימוש זכויות </w:t>
      </w:r>
      <w:r w:rsidR="00A7479A" w:rsidRPr="003C0B63">
        <w:rPr>
          <w:rFonts w:hint="cs"/>
          <w:sz w:val="24"/>
          <w:szCs w:val="24"/>
          <w:rtl/>
        </w:rPr>
        <w:t>המוקנות בחוק</w:t>
      </w:r>
      <w:r w:rsidR="000E4A86">
        <w:rPr>
          <w:rFonts w:hint="cs"/>
          <w:sz w:val="24"/>
          <w:szCs w:val="24"/>
          <w:rtl/>
        </w:rPr>
        <w:t>-</w:t>
      </w:r>
      <w:r w:rsidR="00A7479A" w:rsidRPr="003C0B63">
        <w:rPr>
          <w:rFonts w:hint="cs"/>
          <w:sz w:val="24"/>
          <w:szCs w:val="24"/>
          <w:rtl/>
        </w:rPr>
        <w:t xml:space="preserve">יסוד ובהן זכויות </w:t>
      </w:r>
      <w:r w:rsidR="00D005D0" w:rsidRPr="003C0B63">
        <w:rPr>
          <w:rFonts w:hint="cs"/>
          <w:sz w:val="24"/>
          <w:szCs w:val="24"/>
          <w:rtl/>
        </w:rPr>
        <w:t>אדם,</w:t>
      </w:r>
      <w:r w:rsidR="00A7479A" w:rsidRPr="003C0B63">
        <w:rPr>
          <w:rFonts w:hint="cs"/>
          <w:sz w:val="24"/>
          <w:szCs w:val="24"/>
          <w:rtl/>
        </w:rPr>
        <w:t xml:space="preserve"> שכן</w:t>
      </w:r>
      <w:r w:rsidR="00D005D0" w:rsidRPr="003C0B63">
        <w:rPr>
          <w:rFonts w:hint="cs"/>
          <w:sz w:val="24"/>
          <w:szCs w:val="24"/>
          <w:rtl/>
        </w:rPr>
        <w:t xml:space="preserve"> "בלי זכות הגישה, אין טעם לזכויות אדם".</w:t>
      </w:r>
      <w:r>
        <w:rPr>
          <w:rStyle w:val="a3"/>
          <w:sz w:val="24"/>
          <w:szCs w:val="24"/>
          <w:rtl/>
        </w:rPr>
        <w:footnoteReference w:id="47"/>
      </w:r>
      <w:r w:rsidR="00D005D0" w:rsidRPr="003C0B63">
        <w:rPr>
          <w:rFonts w:hint="cs"/>
          <w:sz w:val="24"/>
          <w:szCs w:val="24"/>
          <w:rtl/>
        </w:rPr>
        <w:t xml:space="preserve"> </w:t>
      </w:r>
      <w:r w:rsidRPr="003C0B63">
        <w:rPr>
          <w:rFonts w:hint="cs"/>
          <w:sz w:val="24"/>
          <w:szCs w:val="24"/>
          <w:rtl/>
        </w:rPr>
        <w:t xml:space="preserve">בפסיקה ובספרות בישראל נקבע כי פגיעה </w:t>
      </w:r>
      <w:r w:rsidRPr="003C0B63">
        <w:rPr>
          <w:rFonts w:hint="eastAsia"/>
          <w:sz w:val="24"/>
          <w:szCs w:val="24"/>
          <w:rtl/>
        </w:rPr>
        <w:t>ב</w:t>
      </w:r>
      <w:r w:rsidRPr="003C0B63">
        <w:rPr>
          <w:rFonts w:ascii="David" w:hAnsi="David" w:hint="eastAsia"/>
          <w:sz w:val="24"/>
          <w:szCs w:val="24"/>
          <w:rtl/>
        </w:rPr>
        <w:t>זכות</w:t>
      </w:r>
      <w:r w:rsidRPr="003C0B63">
        <w:rPr>
          <w:rFonts w:ascii="David" w:hAnsi="David"/>
          <w:sz w:val="24"/>
          <w:szCs w:val="24"/>
          <w:rtl/>
        </w:rPr>
        <w:t xml:space="preserve"> הגישה לערכאות </w:t>
      </w:r>
      <w:r w:rsidRPr="003C0B63">
        <w:rPr>
          <w:rFonts w:ascii="David" w:hAnsi="David" w:hint="eastAsia"/>
          <w:sz w:val="24"/>
          <w:szCs w:val="24"/>
          <w:rtl/>
        </w:rPr>
        <w:t>משמעותה</w:t>
      </w:r>
      <w:r w:rsidRPr="003C0B63">
        <w:rPr>
          <w:rFonts w:ascii="David" w:hAnsi="David"/>
          <w:sz w:val="24"/>
          <w:szCs w:val="24"/>
          <w:rtl/>
        </w:rPr>
        <w:t xml:space="preserve"> </w:t>
      </w:r>
      <w:r w:rsidRPr="003C0B63">
        <w:rPr>
          <w:rFonts w:ascii="David" w:hAnsi="David" w:hint="eastAsia"/>
          <w:sz w:val="24"/>
          <w:szCs w:val="24"/>
          <w:rtl/>
        </w:rPr>
        <w:t>פגיעה</w:t>
      </w:r>
      <w:r w:rsidRPr="003C0B63">
        <w:rPr>
          <w:rFonts w:ascii="David" w:hAnsi="David"/>
          <w:sz w:val="24"/>
          <w:szCs w:val="24"/>
          <w:rtl/>
        </w:rPr>
        <w:t xml:space="preserve"> </w:t>
      </w:r>
      <w:r w:rsidRPr="003C0B63">
        <w:rPr>
          <w:rFonts w:ascii="David" w:hAnsi="David" w:hint="eastAsia"/>
          <w:sz w:val="24"/>
          <w:szCs w:val="24"/>
          <w:rtl/>
        </w:rPr>
        <w:t>בזכותו</w:t>
      </w:r>
      <w:r w:rsidRPr="003C0B63">
        <w:rPr>
          <w:rFonts w:ascii="David" w:hAnsi="David"/>
          <w:sz w:val="24"/>
          <w:szCs w:val="24"/>
          <w:rtl/>
        </w:rPr>
        <w:t xml:space="preserve"> </w:t>
      </w:r>
      <w:r w:rsidRPr="003C0B63">
        <w:rPr>
          <w:rFonts w:ascii="David" w:hAnsi="David" w:hint="eastAsia"/>
          <w:sz w:val="24"/>
          <w:szCs w:val="24"/>
          <w:rtl/>
        </w:rPr>
        <w:t>של</w:t>
      </w:r>
      <w:r w:rsidRPr="003C0B63">
        <w:rPr>
          <w:rFonts w:ascii="David" w:hAnsi="David"/>
          <w:sz w:val="24"/>
          <w:szCs w:val="24"/>
          <w:rtl/>
        </w:rPr>
        <w:t xml:space="preserve"> </w:t>
      </w:r>
      <w:r w:rsidRPr="003C0B63">
        <w:rPr>
          <w:rFonts w:ascii="David" w:hAnsi="David" w:hint="eastAsia"/>
          <w:sz w:val="24"/>
          <w:szCs w:val="24"/>
          <w:rtl/>
        </w:rPr>
        <w:t>הפרט</w:t>
      </w:r>
      <w:r w:rsidRPr="003C0B63">
        <w:rPr>
          <w:rFonts w:ascii="David" w:hAnsi="David"/>
          <w:sz w:val="24"/>
          <w:szCs w:val="24"/>
          <w:rtl/>
        </w:rPr>
        <w:t xml:space="preserve"> </w:t>
      </w:r>
      <w:r w:rsidRPr="003C0B63">
        <w:rPr>
          <w:rFonts w:ascii="David" w:hAnsi="David" w:hint="eastAsia"/>
          <w:sz w:val="24"/>
          <w:szCs w:val="24"/>
          <w:rtl/>
        </w:rPr>
        <w:t>לפנות</w:t>
      </w:r>
      <w:r w:rsidRPr="003C0B63">
        <w:rPr>
          <w:rFonts w:ascii="David" w:hAnsi="David"/>
          <w:sz w:val="24"/>
          <w:szCs w:val="24"/>
          <w:rtl/>
        </w:rPr>
        <w:t xml:space="preserve"> </w:t>
      </w:r>
      <w:r w:rsidRPr="003C0B63">
        <w:rPr>
          <w:rFonts w:ascii="David" w:hAnsi="David" w:hint="eastAsia"/>
          <w:sz w:val="24"/>
          <w:szCs w:val="24"/>
          <w:rtl/>
        </w:rPr>
        <w:t>אל</w:t>
      </w:r>
      <w:r w:rsidRPr="003C0B63">
        <w:rPr>
          <w:rFonts w:ascii="David" w:hAnsi="David"/>
          <w:sz w:val="24"/>
          <w:szCs w:val="24"/>
          <w:rtl/>
        </w:rPr>
        <w:t xml:space="preserve"> </w:t>
      </w:r>
      <w:r w:rsidRPr="003C0B63">
        <w:rPr>
          <w:rFonts w:ascii="David" w:hAnsi="David" w:hint="eastAsia"/>
          <w:sz w:val="24"/>
          <w:szCs w:val="24"/>
          <w:rtl/>
        </w:rPr>
        <w:t>הערכאות</w:t>
      </w:r>
      <w:r w:rsidRPr="003C0B63">
        <w:rPr>
          <w:rFonts w:ascii="David" w:hAnsi="David"/>
          <w:sz w:val="24"/>
          <w:szCs w:val="24"/>
          <w:rtl/>
        </w:rPr>
        <w:t xml:space="preserve"> </w:t>
      </w:r>
      <w:r w:rsidRPr="003C0B63">
        <w:rPr>
          <w:rFonts w:ascii="David" w:hAnsi="David" w:hint="eastAsia"/>
          <w:sz w:val="24"/>
          <w:szCs w:val="24"/>
          <w:rtl/>
        </w:rPr>
        <w:t>ולקבל</w:t>
      </w:r>
      <w:r w:rsidRPr="003C0B63">
        <w:rPr>
          <w:rFonts w:ascii="David" w:hAnsi="David"/>
          <w:sz w:val="24"/>
          <w:szCs w:val="24"/>
          <w:rtl/>
        </w:rPr>
        <w:t xml:space="preserve"> </w:t>
      </w:r>
      <w:r w:rsidRPr="003C0B63">
        <w:rPr>
          <w:rFonts w:ascii="David" w:hAnsi="David" w:hint="eastAsia"/>
          <w:sz w:val="24"/>
          <w:szCs w:val="24"/>
          <w:rtl/>
        </w:rPr>
        <w:t>סעד</w:t>
      </w:r>
      <w:r w:rsidRPr="003C0B63">
        <w:rPr>
          <w:rFonts w:ascii="David" w:hAnsi="David"/>
          <w:sz w:val="24"/>
          <w:szCs w:val="24"/>
          <w:rtl/>
        </w:rPr>
        <w:t xml:space="preserve">, </w:t>
      </w:r>
      <w:r w:rsidRPr="003C0B63">
        <w:rPr>
          <w:rFonts w:ascii="David" w:hAnsi="David" w:hint="eastAsia"/>
          <w:sz w:val="24"/>
          <w:szCs w:val="24"/>
          <w:rtl/>
        </w:rPr>
        <w:t>ללא</w:t>
      </w:r>
      <w:r w:rsidRPr="003C0B63">
        <w:rPr>
          <w:rFonts w:ascii="David" w:hAnsi="David"/>
          <w:sz w:val="24"/>
          <w:szCs w:val="24"/>
          <w:rtl/>
        </w:rPr>
        <w:t xml:space="preserve"> </w:t>
      </w:r>
      <w:r w:rsidRPr="003C0B63">
        <w:rPr>
          <w:rFonts w:ascii="David" w:hAnsi="David" w:hint="eastAsia"/>
          <w:sz w:val="24"/>
          <w:szCs w:val="24"/>
          <w:rtl/>
        </w:rPr>
        <w:t>סירוב</w:t>
      </w:r>
      <w:r w:rsidRPr="003C0B63">
        <w:rPr>
          <w:rFonts w:ascii="David" w:hAnsi="David"/>
          <w:sz w:val="24"/>
          <w:szCs w:val="24"/>
          <w:rtl/>
        </w:rPr>
        <w:t xml:space="preserve">, </w:t>
      </w:r>
      <w:r w:rsidRPr="003C0B63">
        <w:rPr>
          <w:rFonts w:ascii="David" w:hAnsi="David" w:hint="eastAsia"/>
          <w:sz w:val="24"/>
          <w:szCs w:val="24"/>
          <w:rtl/>
        </w:rPr>
        <w:t>ללא</w:t>
      </w:r>
      <w:r w:rsidRPr="003C0B63">
        <w:rPr>
          <w:rFonts w:ascii="David" w:hAnsi="David"/>
          <w:sz w:val="24"/>
          <w:szCs w:val="24"/>
          <w:rtl/>
        </w:rPr>
        <w:t xml:space="preserve"> </w:t>
      </w:r>
      <w:r w:rsidRPr="003C0B63">
        <w:rPr>
          <w:rFonts w:ascii="David" w:hAnsi="David" w:hint="eastAsia"/>
          <w:sz w:val="24"/>
          <w:szCs w:val="24"/>
          <w:rtl/>
        </w:rPr>
        <w:t>עיכוב</w:t>
      </w:r>
      <w:r w:rsidRPr="003C0B63">
        <w:rPr>
          <w:rFonts w:ascii="David" w:hAnsi="David"/>
          <w:sz w:val="24"/>
          <w:szCs w:val="24"/>
          <w:rtl/>
        </w:rPr>
        <w:t xml:space="preserve"> </w:t>
      </w:r>
      <w:r w:rsidRPr="003C0B63">
        <w:rPr>
          <w:rFonts w:ascii="David" w:hAnsi="David" w:hint="eastAsia"/>
          <w:sz w:val="24"/>
          <w:szCs w:val="24"/>
          <w:rtl/>
        </w:rPr>
        <w:t>וללא</w:t>
      </w:r>
      <w:r w:rsidRPr="003C0B63">
        <w:rPr>
          <w:rFonts w:ascii="David" w:hAnsi="David"/>
          <w:sz w:val="24"/>
          <w:szCs w:val="24"/>
          <w:rtl/>
        </w:rPr>
        <w:t xml:space="preserve"> </w:t>
      </w:r>
      <w:r w:rsidRPr="003C0B63">
        <w:rPr>
          <w:rFonts w:ascii="David" w:hAnsi="David" w:hint="eastAsia"/>
          <w:sz w:val="24"/>
          <w:szCs w:val="24"/>
          <w:rtl/>
        </w:rPr>
        <w:t>משוא</w:t>
      </w:r>
      <w:r w:rsidR="008D1913">
        <w:rPr>
          <w:rFonts w:ascii="David" w:hAnsi="David" w:hint="cs"/>
          <w:sz w:val="24"/>
          <w:szCs w:val="24"/>
          <w:rtl/>
        </w:rPr>
        <w:t xml:space="preserve"> </w:t>
      </w:r>
      <w:r w:rsidRPr="003C0B63">
        <w:rPr>
          <w:rFonts w:ascii="David" w:hAnsi="David"/>
          <w:sz w:val="24"/>
          <w:szCs w:val="24"/>
          <w:rtl/>
        </w:rPr>
        <w:t>פנים.</w:t>
      </w:r>
      <w:bookmarkStart w:id="11" w:name="_Ref486891491"/>
      <w:r>
        <w:rPr>
          <w:rStyle w:val="a3"/>
          <w:rFonts w:ascii="David" w:hAnsi="David"/>
          <w:sz w:val="24"/>
          <w:szCs w:val="24"/>
          <w:rtl/>
        </w:rPr>
        <w:footnoteReference w:id="48"/>
      </w:r>
      <w:bookmarkEnd w:id="11"/>
      <w:r w:rsidRPr="003C0B63">
        <w:rPr>
          <w:rFonts w:ascii="David" w:hAnsi="David"/>
          <w:sz w:val="24"/>
          <w:szCs w:val="24"/>
          <w:rtl/>
        </w:rPr>
        <w:t xml:space="preserve"> לראשונה</w:t>
      </w:r>
      <w:r w:rsidR="008D1913">
        <w:rPr>
          <w:rFonts w:ascii="David" w:hAnsi="David" w:hint="cs"/>
          <w:sz w:val="24"/>
          <w:szCs w:val="24"/>
          <w:rtl/>
        </w:rPr>
        <w:t>,</w:t>
      </w:r>
      <w:r w:rsidRPr="003C0B63">
        <w:rPr>
          <w:rFonts w:ascii="David" w:hAnsi="David"/>
          <w:sz w:val="24"/>
          <w:szCs w:val="24"/>
          <w:rtl/>
        </w:rPr>
        <w:t xml:space="preserve"> הכיר בית המשפט במעמדה החוקתי של זכות הגישה לערכאות בפרשת </w:t>
      </w:r>
      <w:proofErr w:type="spellStart"/>
      <w:r w:rsidRPr="003C0B63">
        <w:rPr>
          <w:rFonts w:ascii="David" w:hAnsi="David" w:hint="eastAsia"/>
          <w:b/>
          <w:bCs/>
          <w:sz w:val="24"/>
          <w:szCs w:val="24"/>
          <w:rtl/>
        </w:rPr>
        <w:t>ארפל</w:t>
      </w:r>
      <w:proofErr w:type="spellEnd"/>
      <w:r w:rsidRPr="003C0B63">
        <w:rPr>
          <w:rFonts w:ascii="David" w:hAnsi="David"/>
          <w:b/>
          <w:bCs/>
          <w:sz w:val="24"/>
          <w:szCs w:val="24"/>
          <w:rtl/>
        </w:rPr>
        <w:t xml:space="preserve"> </w:t>
      </w:r>
      <w:r w:rsidRPr="003C0B63">
        <w:rPr>
          <w:rFonts w:ascii="David" w:hAnsi="David" w:hint="eastAsia"/>
          <w:b/>
          <w:bCs/>
          <w:sz w:val="24"/>
          <w:szCs w:val="24"/>
          <w:rtl/>
        </w:rPr>
        <w:t>אלומיניום</w:t>
      </w:r>
      <w:r w:rsidRPr="003C0B63">
        <w:rPr>
          <w:rFonts w:ascii="David" w:hAnsi="David"/>
          <w:sz w:val="24"/>
          <w:szCs w:val="24"/>
          <w:rtl/>
        </w:rPr>
        <w:t xml:space="preserve">, </w:t>
      </w:r>
      <w:r w:rsidRPr="003C0B63">
        <w:rPr>
          <w:rFonts w:ascii="David" w:hAnsi="David" w:hint="eastAsia"/>
          <w:sz w:val="24"/>
          <w:szCs w:val="24"/>
          <w:rtl/>
        </w:rPr>
        <w:t>ואף</w:t>
      </w:r>
      <w:r w:rsidRPr="003C0B63">
        <w:rPr>
          <w:rFonts w:ascii="David" w:hAnsi="David"/>
          <w:sz w:val="24"/>
          <w:szCs w:val="24"/>
          <w:rtl/>
        </w:rPr>
        <w:t xml:space="preserve"> </w:t>
      </w:r>
      <w:r w:rsidRPr="003C0B63">
        <w:rPr>
          <w:rFonts w:ascii="David" w:hAnsi="David" w:hint="eastAsia"/>
          <w:sz w:val="24"/>
          <w:szCs w:val="24"/>
          <w:rtl/>
        </w:rPr>
        <w:t>הובעה</w:t>
      </w:r>
      <w:r w:rsidRPr="003C0B63">
        <w:rPr>
          <w:rFonts w:ascii="David" w:hAnsi="David"/>
          <w:sz w:val="24"/>
          <w:szCs w:val="24"/>
          <w:rtl/>
        </w:rPr>
        <w:t xml:space="preserve"> </w:t>
      </w:r>
      <w:r w:rsidRPr="003C0B63">
        <w:rPr>
          <w:rFonts w:ascii="David" w:hAnsi="David" w:hint="eastAsia"/>
          <w:sz w:val="24"/>
          <w:szCs w:val="24"/>
          <w:rtl/>
        </w:rPr>
        <w:t>בה</w:t>
      </w:r>
      <w:r w:rsidRPr="003C0B63">
        <w:rPr>
          <w:rFonts w:ascii="David" w:hAnsi="David"/>
          <w:sz w:val="24"/>
          <w:szCs w:val="24"/>
          <w:rtl/>
        </w:rPr>
        <w:t xml:space="preserve"> </w:t>
      </w:r>
      <w:r w:rsidRPr="003C0B63">
        <w:rPr>
          <w:rFonts w:ascii="David" w:hAnsi="David" w:hint="eastAsia"/>
          <w:sz w:val="24"/>
          <w:szCs w:val="24"/>
          <w:rtl/>
        </w:rPr>
        <w:t>הדעה</w:t>
      </w:r>
      <w:r w:rsidRPr="003C0B63">
        <w:rPr>
          <w:rFonts w:ascii="David" w:hAnsi="David"/>
          <w:sz w:val="24"/>
          <w:szCs w:val="24"/>
          <w:rtl/>
        </w:rPr>
        <w:t xml:space="preserve"> </w:t>
      </w:r>
      <w:r w:rsidRPr="003C0B63">
        <w:rPr>
          <w:rFonts w:ascii="David" w:hAnsi="David" w:hint="eastAsia"/>
          <w:sz w:val="24"/>
          <w:szCs w:val="24"/>
          <w:rtl/>
        </w:rPr>
        <w:t>ש</w:t>
      </w:r>
      <w:r w:rsidRPr="003C0B63">
        <w:rPr>
          <w:rFonts w:ascii="David" w:hAnsi="David"/>
          <w:sz w:val="24"/>
          <w:szCs w:val="24"/>
          <w:rtl/>
        </w:rPr>
        <w:t xml:space="preserve">"אין </w:t>
      </w:r>
      <w:r w:rsidRPr="003C0B63">
        <w:rPr>
          <w:rFonts w:ascii="David" w:hAnsi="David" w:hint="eastAsia"/>
          <w:sz w:val="24"/>
          <w:szCs w:val="24"/>
          <w:rtl/>
        </w:rPr>
        <w:t>היא</w:t>
      </w:r>
      <w:r w:rsidRPr="003C0B63">
        <w:rPr>
          <w:rFonts w:ascii="David" w:hAnsi="David"/>
          <w:sz w:val="24"/>
          <w:szCs w:val="24"/>
          <w:rtl/>
        </w:rPr>
        <w:t xml:space="preserve"> </w:t>
      </w:r>
      <w:r w:rsidRPr="003C0B63">
        <w:rPr>
          <w:rFonts w:ascii="David" w:hAnsi="David" w:hint="eastAsia"/>
          <w:sz w:val="24"/>
          <w:szCs w:val="24"/>
          <w:rtl/>
        </w:rPr>
        <w:t>זכות</w:t>
      </w:r>
      <w:r w:rsidRPr="003C0B63">
        <w:rPr>
          <w:rFonts w:ascii="David" w:hAnsi="David"/>
          <w:sz w:val="24"/>
          <w:szCs w:val="24"/>
          <w:rtl/>
        </w:rPr>
        <w:t xml:space="preserve"> </w:t>
      </w:r>
      <w:r w:rsidRPr="003C0B63">
        <w:rPr>
          <w:rFonts w:ascii="David" w:hAnsi="David" w:hint="eastAsia"/>
          <w:sz w:val="24"/>
          <w:szCs w:val="24"/>
          <w:rtl/>
        </w:rPr>
        <w:t>יסוד</w:t>
      </w:r>
      <w:r w:rsidRPr="003C0B63">
        <w:rPr>
          <w:rFonts w:ascii="David" w:hAnsi="David"/>
          <w:sz w:val="24"/>
          <w:szCs w:val="24"/>
          <w:rtl/>
        </w:rPr>
        <w:t xml:space="preserve"> </w:t>
      </w:r>
      <w:r w:rsidRPr="003C0B63">
        <w:rPr>
          <w:rFonts w:ascii="David" w:hAnsi="David" w:hint="eastAsia"/>
          <w:sz w:val="24"/>
          <w:szCs w:val="24"/>
          <w:rtl/>
        </w:rPr>
        <w:t>במובנו</w:t>
      </w:r>
      <w:r w:rsidRPr="003C0B63">
        <w:rPr>
          <w:rFonts w:ascii="David" w:hAnsi="David"/>
          <w:sz w:val="24"/>
          <w:szCs w:val="24"/>
          <w:rtl/>
        </w:rPr>
        <w:t xml:space="preserve"> </w:t>
      </w:r>
      <w:r w:rsidRPr="003C0B63">
        <w:rPr>
          <w:rFonts w:ascii="David" w:hAnsi="David" w:hint="eastAsia"/>
          <w:sz w:val="24"/>
          <w:szCs w:val="24"/>
          <w:rtl/>
        </w:rPr>
        <w:t>הרגיל</w:t>
      </w:r>
      <w:r w:rsidRPr="003C0B63">
        <w:rPr>
          <w:rFonts w:ascii="David" w:hAnsi="David"/>
          <w:sz w:val="24"/>
          <w:szCs w:val="24"/>
          <w:rtl/>
        </w:rPr>
        <w:t xml:space="preserve"> </w:t>
      </w:r>
      <w:r w:rsidRPr="003C0B63">
        <w:rPr>
          <w:rFonts w:ascii="David" w:hAnsi="David" w:hint="eastAsia"/>
          <w:sz w:val="24"/>
          <w:szCs w:val="24"/>
          <w:rtl/>
        </w:rPr>
        <w:t>של</w:t>
      </w:r>
      <w:r w:rsidRPr="003C0B63">
        <w:rPr>
          <w:rFonts w:ascii="David" w:hAnsi="David"/>
          <w:sz w:val="24"/>
          <w:szCs w:val="24"/>
          <w:rtl/>
        </w:rPr>
        <w:t xml:space="preserve"> </w:t>
      </w:r>
      <w:r w:rsidRPr="003C0B63">
        <w:rPr>
          <w:rFonts w:ascii="David" w:hAnsi="David" w:hint="eastAsia"/>
          <w:sz w:val="24"/>
          <w:szCs w:val="24"/>
          <w:rtl/>
        </w:rPr>
        <w:t>המושג</w:t>
      </w:r>
      <w:r w:rsidRPr="003C0B63">
        <w:rPr>
          <w:rFonts w:ascii="David" w:hAnsi="David"/>
          <w:sz w:val="24"/>
          <w:szCs w:val="24"/>
          <w:rtl/>
        </w:rPr>
        <w:t xml:space="preserve"> [...] </w:t>
      </w:r>
      <w:r w:rsidRPr="003C0B63">
        <w:rPr>
          <w:rFonts w:ascii="David" w:hAnsi="David" w:hint="eastAsia"/>
          <w:sz w:val="24"/>
          <w:szCs w:val="24"/>
          <w:rtl/>
        </w:rPr>
        <w:t>נעלה</w:t>
      </w:r>
      <w:r w:rsidRPr="003C0B63">
        <w:rPr>
          <w:rFonts w:ascii="David" w:hAnsi="David"/>
          <w:sz w:val="24"/>
          <w:szCs w:val="24"/>
          <w:rtl/>
        </w:rPr>
        <w:t xml:space="preserve"> </w:t>
      </w:r>
      <w:r w:rsidRPr="003C0B63">
        <w:rPr>
          <w:rFonts w:ascii="David" w:hAnsi="David" w:hint="eastAsia"/>
          <w:sz w:val="24"/>
          <w:szCs w:val="24"/>
          <w:rtl/>
        </w:rPr>
        <w:t>היא</w:t>
      </w:r>
      <w:r w:rsidRPr="003C0B63">
        <w:rPr>
          <w:rFonts w:ascii="David" w:hAnsi="David"/>
          <w:sz w:val="24"/>
          <w:szCs w:val="24"/>
          <w:rtl/>
        </w:rPr>
        <w:t xml:space="preserve"> </w:t>
      </w:r>
      <w:r w:rsidRPr="003C0B63">
        <w:rPr>
          <w:rFonts w:ascii="David" w:hAnsi="David" w:hint="eastAsia"/>
          <w:sz w:val="24"/>
          <w:szCs w:val="24"/>
          <w:rtl/>
        </w:rPr>
        <w:t>על</w:t>
      </w:r>
      <w:r w:rsidRPr="003C0B63">
        <w:rPr>
          <w:rFonts w:ascii="David" w:hAnsi="David"/>
          <w:sz w:val="24"/>
          <w:szCs w:val="24"/>
          <w:rtl/>
        </w:rPr>
        <w:t xml:space="preserve"> </w:t>
      </w:r>
      <w:r w:rsidRPr="003C0B63">
        <w:rPr>
          <w:rFonts w:ascii="David" w:hAnsi="David" w:hint="eastAsia"/>
          <w:sz w:val="24"/>
          <w:szCs w:val="24"/>
          <w:rtl/>
        </w:rPr>
        <w:t>זכות</w:t>
      </w:r>
      <w:r w:rsidRPr="003C0B63">
        <w:rPr>
          <w:rFonts w:ascii="David" w:hAnsi="David"/>
          <w:sz w:val="24"/>
          <w:szCs w:val="24"/>
          <w:rtl/>
        </w:rPr>
        <w:t>-יסוד".</w:t>
      </w:r>
      <w:r>
        <w:rPr>
          <w:rStyle w:val="a3"/>
          <w:rFonts w:ascii="David" w:hAnsi="David"/>
          <w:sz w:val="24"/>
          <w:szCs w:val="24"/>
          <w:rtl/>
        </w:rPr>
        <w:footnoteReference w:id="49"/>
      </w:r>
      <w:r w:rsidRPr="003C0B63">
        <w:rPr>
          <w:rFonts w:ascii="David" w:hAnsi="David"/>
          <w:sz w:val="24"/>
          <w:szCs w:val="24"/>
          <w:rtl/>
        </w:rPr>
        <w:t xml:space="preserve"> כיום</w:t>
      </w:r>
      <w:r w:rsidR="008D1913">
        <w:rPr>
          <w:rFonts w:ascii="David" w:hAnsi="David" w:hint="cs"/>
          <w:sz w:val="24"/>
          <w:szCs w:val="24"/>
          <w:rtl/>
        </w:rPr>
        <w:t>,</w:t>
      </w:r>
      <w:r w:rsidRPr="003C0B63">
        <w:rPr>
          <w:rFonts w:ascii="David" w:hAnsi="David"/>
          <w:sz w:val="24"/>
          <w:szCs w:val="24"/>
          <w:rtl/>
        </w:rPr>
        <w:t xml:space="preserve"> אין עוד חולק על כך, כי זכות הגישה לערכאות היא אחת הזכויות החוקתיות המעוגנות בחוק</w:t>
      </w:r>
      <w:r w:rsidR="000E4A86">
        <w:rPr>
          <w:rFonts w:ascii="David" w:hAnsi="David" w:hint="cs"/>
          <w:sz w:val="24"/>
          <w:szCs w:val="24"/>
          <w:rtl/>
        </w:rPr>
        <w:t>-</w:t>
      </w:r>
      <w:r w:rsidRPr="003C0B63">
        <w:rPr>
          <w:rFonts w:ascii="David" w:hAnsi="David"/>
          <w:sz w:val="24"/>
          <w:szCs w:val="24"/>
          <w:rtl/>
        </w:rPr>
        <w:t>יסוד: כבוד האדם וחירותו.</w:t>
      </w:r>
      <w:bookmarkStart w:id="12" w:name="_Ref486925084"/>
      <w:r>
        <w:rPr>
          <w:rStyle w:val="a3"/>
          <w:rFonts w:ascii="David" w:hAnsi="David"/>
          <w:sz w:val="24"/>
          <w:szCs w:val="24"/>
          <w:rtl/>
        </w:rPr>
        <w:footnoteReference w:id="50"/>
      </w:r>
      <w:bookmarkEnd w:id="12"/>
      <w:r w:rsidRPr="003C0B63">
        <w:rPr>
          <w:rFonts w:ascii="David" w:hAnsi="David"/>
          <w:sz w:val="24"/>
          <w:szCs w:val="24"/>
          <w:rtl/>
        </w:rPr>
        <w:t xml:space="preserve"> </w:t>
      </w:r>
    </w:p>
    <w:p w14:paraId="27EA5CD7" w14:textId="0DFD25BD" w:rsidR="00995CDB" w:rsidRDefault="00CE7BBB" w:rsidP="00727935">
      <w:pPr>
        <w:spacing w:line="360" w:lineRule="auto"/>
        <w:ind w:firstLine="720"/>
        <w:jc w:val="both"/>
        <w:rPr>
          <w:rFonts w:ascii="David" w:hAnsi="David"/>
          <w:sz w:val="24"/>
          <w:szCs w:val="24"/>
          <w:rtl/>
        </w:rPr>
      </w:pPr>
      <w:r w:rsidRPr="003C0B63">
        <w:rPr>
          <w:rFonts w:ascii="David" w:hAnsi="David"/>
          <w:sz w:val="24"/>
          <w:szCs w:val="24"/>
          <w:rtl/>
        </w:rPr>
        <w:t>ככלל, בשל מעמדה החוקתי</w:t>
      </w:r>
      <w:r w:rsidRPr="003C0B63">
        <w:rPr>
          <w:rFonts w:ascii="David" w:hAnsi="David" w:hint="cs"/>
          <w:sz w:val="24"/>
          <w:szCs w:val="24"/>
          <w:rtl/>
        </w:rPr>
        <w:t xml:space="preserve"> של זכות הגישה לערכאות, </w:t>
      </w:r>
      <w:r w:rsidRPr="003C0B63">
        <w:rPr>
          <w:rFonts w:ascii="David" w:hAnsi="David" w:hint="eastAsia"/>
          <w:sz w:val="24"/>
          <w:szCs w:val="24"/>
          <w:rtl/>
        </w:rPr>
        <w:t>אין</w:t>
      </w:r>
      <w:r w:rsidRPr="003C0B63">
        <w:rPr>
          <w:rFonts w:ascii="David" w:hAnsi="David"/>
          <w:sz w:val="24"/>
          <w:szCs w:val="24"/>
          <w:rtl/>
        </w:rPr>
        <w:t xml:space="preserve"> </w:t>
      </w:r>
      <w:r w:rsidRPr="003C0B63">
        <w:rPr>
          <w:rFonts w:ascii="David" w:hAnsi="David" w:hint="cs"/>
          <w:sz w:val="24"/>
          <w:szCs w:val="24"/>
          <w:rtl/>
        </w:rPr>
        <w:t xml:space="preserve">רשות ציבורית יכולה </w:t>
      </w:r>
      <w:r w:rsidRPr="003C0B63">
        <w:rPr>
          <w:rFonts w:ascii="David" w:hAnsi="David" w:hint="eastAsia"/>
          <w:sz w:val="24"/>
          <w:szCs w:val="24"/>
          <w:rtl/>
        </w:rPr>
        <w:t>לפגוע</w:t>
      </w:r>
      <w:r w:rsidRPr="003C0B63">
        <w:rPr>
          <w:rFonts w:ascii="David" w:hAnsi="David"/>
          <w:sz w:val="24"/>
          <w:szCs w:val="24"/>
          <w:rtl/>
        </w:rPr>
        <w:t xml:space="preserve"> </w:t>
      </w:r>
      <w:r w:rsidRPr="003C0B63">
        <w:rPr>
          <w:rFonts w:ascii="David" w:hAnsi="David" w:hint="eastAsia"/>
          <w:sz w:val="24"/>
          <w:szCs w:val="24"/>
          <w:rtl/>
        </w:rPr>
        <w:t>ב</w:t>
      </w:r>
      <w:r w:rsidRPr="003C0B63">
        <w:rPr>
          <w:rFonts w:ascii="David" w:hAnsi="David" w:hint="cs"/>
          <w:sz w:val="24"/>
          <w:szCs w:val="24"/>
          <w:rtl/>
        </w:rPr>
        <w:t>ה</w:t>
      </w:r>
      <w:r w:rsidRPr="003C0B63">
        <w:rPr>
          <w:rFonts w:ascii="David" w:hAnsi="David"/>
          <w:sz w:val="24"/>
          <w:szCs w:val="24"/>
          <w:rtl/>
        </w:rPr>
        <w:t xml:space="preserve"> אלא בהתאם </w:t>
      </w:r>
      <w:r w:rsidRPr="003C0B63">
        <w:rPr>
          <w:rFonts w:ascii="David" w:hAnsi="David" w:hint="cs"/>
          <w:sz w:val="24"/>
          <w:szCs w:val="24"/>
          <w:rtl/>
        </w:rPr>
        <w:t>לנוסחת האיזון הקבועה ב</w:t>
      </w:r>
      <w:r w:rsidRPr="003C0B63">
        <w:rPr>
          <w:rFonts w:ascii="David" w:hAnsi="David" w:hint="eastAsia"/>
          <w:sz w:val="24"/>
          <w:szCs w:val="24"/>
          <w:rtl/>
        </w:rPr>
        <w:t>פסקת</w:t>
      </w:r>
      <w:r w:rsidRPr="003C0B63">
        <w:rPr>
          <w:rFonts w:ascii="David" w:hAnsi="David"/>
          <w:sz w:val="24"/>
          <w:szCs w:val="24"/>
          <w:rtl/>
        </w:rPr>
        <w:t xml:space="preserve"> </w:t>
      </w:r>
      <w:r w:rsidRPr="003C0B63">
        <w:rPr>
          <w:rFonts w:ascii="David" w:hAnsi="David" w:hint="eastAsia"/>
          <w:sz w:val="24"/>
          <w:szCs w:val="24"/>
          <w:rtl/>
        </w:rPr>
        <w:t>ההגבלה</w:t>
      </w:r>
      <w:r w:rsidRPr="003C0B63">
        <w:rPr>
          <w:rFonts w:ascii="David" w:hAnsi="David"/>
          <w:sz w:val="24"/>
          <w:szCs w:val="24"/>
          <w:rtl/>
        </w:rPr>
        <w:t xml:space="preserve"> </w:t>
      </w:r>
      <w:r w:rsidRPr="003C0B63">
        <w:rPr>
          <w:rFonts w:ascii="David" w:hAnsi="David" w:hint="eastAsia"/>
          <w:sz w:val="24"/>
          <w:szCs w:val="24"/>
          <w:rtl/>
        </w:rPr>
        <w:t>שבסעיף</w:t>
      </w:r>
      <w:r w:rsidRPr="003C0B63">
        <w:rPr>
          <w:rFonts w:ascii="David" w:hAnsi="David"/>
          <w:sz w:val="24"/>
          <w:szCs w:val="24"/>
          <w:rtl/>
        </w:rPr>
        <w:t xml:space="preserve"> 8 </w:t>
      </w:r>
      <w:r w:rsidRPr="003C0B63">
        <w:rPr>
          <w:rFonts w:ascii="David" w:hAnsi="David" w:hint="eastAsia"/>
          <w:sz w:val="24"/>
          <w:szCs w:val="24"/>
          <w:rtl/>
        </w:rPr>
        <w:t>לחוק</w:t>
      </w:r>
      <w:r w:rsidR="000E4A86">
        <w:rPr>
          <w:rFonts w:ascii="David" w:hAnsi="David" w:hint="cs"/>
          <w:sz w:val="24"/>
          <w:szCs w:val="24"/>
          <w:rtl/>
        </w:rPr>
        <w:t>-</w:t>
      </w:r>
      <w:r w:rsidRPr="003C0B63">
        <w:rPr>
          <w:rFonts w:ascii="David" w:hAnsi="David"/>
          <w:sz w:val="24"/>
          <w:szCs w:val="24"/>
          <w:rtl/>
        </w:rPr>
        <w:t xml:space="preserve">יסוד: </w:t>
      </w:r>
      <w:r w:rsidRPr="003C0B63">
        <w:rPr>
          <w:rFonts w:ascii="David" w:hAnsi="David" w:hint="eastAsia"/>
          <w:sz w:val="24"/>
          <w:szCs w:val="24"/>
          <w:rtl/>
        </w:rPr>
        <w:t>כבוד</w:t>
      </w:r>
      <w:r w:rsidRPr="003C0B63">
        <w:rPr>
          <w:rFonts w:ascii="David" w:hAnsi="David"/>
          <w:sz w:val="24"/>
          <w:szCs w:val="24"/>
          <w:rtl/>
        </w:rPr>
        <w:t xml:space="preserve"> </w:t>
      </w:r>
      <w:r w:rsidRPr="003C0B63">
        <w:rPr>
          <w:rFonts w:ascii="David" w:hAnsi="David" w:hint="eastAsia"/>
          <w:sz w:val="24"/>
          <w:szCs w:val="24"/>
          <w:rtl/>
        </w:rPr>
        <w:t>האדם</w:t>
      </w:r>
      <w:r w:rsidRPr="003C0B63">
        <w:rPr>
          <w:rFonts w:ascii="David" w:hAnsi="David"/>
          <w:sz w:val="24"/>
          <w:szCs w:val="24"/>
          <w:rtl/>
        </w:rPr>
        <w:t xml:space="preserve"> </w:t>
      </w:r>
      <w:r w:rsidRPr="003C0B63">
        <w:rPr>
          <w:rFonts w:ascii="David" w:hAnsi="David" w:hint="eastAsia"/>
          <w:sz w:val="24"/>
          <w:szCs w:val="24"/>
          <w:rtl/>
        </w:rPr>
        <w:t>וחירותו</w:t>
      </w:r>
      <w:r w:rsidRPr="003C0B63">
        <w:rPr>
          <w:rFonts w:ascii="David" w:hAnsi="David" w:hint="cs"/>
          <w:sz w:val="24"/>
          <w:szCs w:val="24"/>
          <w:rtl/>
        </w:rPr>
        <w:t>.</w:t>
      </w:r>
      <w:r>
        <w:rPr>
          <w:rStyle w:val="a3"/>
          <w:rFonts w:ascii="David" w:hAnsi="David"/>
          <w:sz w:val="24"/>
          <w:szCs w:val="24"/>
          <w:rtl/>
        </w:rPr>
        <w:footnoteReference w:id="51"/>
      </w:r>
      <w:r w:rsidRPr="003C0B63">
        <w:rPr>
          <w:rFonts w:ascii="David" w:hAnsi="David" w:hint="cs"/>
          <w:sz w:val="24"/>
          <w:szCs w:val="24"/>
          <w:rtl/>
        </w:rPr>
        <w:t xml:space="preserve"> אך האם על המוריש, להבדיל מרשות ציבורית, חלה חובה לכבד את זכות הגישה לערכאות של הנהנה? ואם כך הדבר, כיצד </w:t>
      </w:r>
      <w:r w:rsidR="00727935">
        <w:rPr>
          <w:rFonts w:ascii="David" w:hAnsi="David" w:hint="cs"/>
          <w:sz w:val="24"/>
          <w:szCs w:val="24"/>
          <w:rtl/>
        </w:rPr>
        <w:t xml:space="preserve">ראוי </w:t>
      </w:r>
      <w:r w:rsidRPr="003C0B63">
        <w:rPr>
          <w:rFonts w:ascii="David" w:hAnsi="David" w:hint="cs"/>
          <w:sz w:val="24"/>
          <w:szCs w:val="24"/>
          <w:rtl/>
        </w:rPr>
        <w:t xml:space="preserve">לאזן בין זכות הגישה לערכאות של הנהנה לבין זכותו של המוריש לצוות כרצונו ולכלול בצוואתו תניית סילוקין?  </w:t>
      </w:r>
    </w:p>
    <w:p w14:paraId="439D6DC5" w14:textId="0988FB8E" w:rsidR="001C3222" w:rsidRDefault="001C3222" w:rsidP="00727935">
      <w:pPr>
        <w:spacing w:line="360" w:lineRule="auto"/>
        <w:ind w:firstLine="720"/>
        <w:jc w:val="both"/>
        <w:rPr>
          <w:rFonts w:ascii="David" w:hAnsi="David"/>
          <w:sz w:val="24"/>
          <w:szCs w:val="24"/>
          <w:rtl/>
        </w:rPr>
      </w:pPr>
    </w:p>
    <w:p w14:paraId="67273A05" w14:textId="77777777" w:rsidR="001C3222" w:rsidRPr="003C0B63" w:rsidRDefault="001C3222" w:rsidP="00727935">
      <w:pPr>
        <w:spacing w:line="360" w:lineRule="auto"/>
        <w:ind w:firstLine="720"/>
        <w:jc w:val="both"/>
        <w:rPr>
          <w:rFonts w:ascii="David" w:hAnsi="David"/>
          <w:sz w:val="24"/>
          <w:szCs w:val="24"/>
          <w:rtl/>
        </w:rPr>
      </w:pPr>
    </w:p>
    <w:p w14:paraId="28EE0227" w14:textId="77777777" w:rsidR="00995CDB" w:rsidRPr="003C0B63" w:rsidRDefault="00995CDB" w:rsidP="00995CDB">
      <w:pPr>
        <w:pStyle w:val="ad"/>
        <w:spacing w:line="360" w:lineRule="auto"/>
        <w:ind w:left="360"/>
        <w:jc w:val="both"/>
        <w:rPr>
          <w:sz w:val="24"/>
          <w:szCs w:val="24"/>
        </w:rPr>
      </w:pPr>
    </w:p>
    <w:p w14:paraId="4DD559F3" w14:textId="77777777" w:rsidR="001A539B" w:rsidRPr="006340A2" w:rsidRDefault="00CE7BBB" w:rsidP="002A19A7">
      <w:pPr>
        <w:spacing w:line="360" w:lineRule="auto"/>
        <w:jc w:val="both"/>
        <w:rPr>
          <w:sz w:val="24"/>
          <w:szCs w:val="24"/>
        </w:rPr>
      </w:pPr>
      <w:r w:rsidRPr="00D8171A">
        <w:rPr>
          <w:rFonts w:hint="cs"/>
          <w:b/>
          <w:bCs/>
          <w:sz w:val="24"/>
          <w:szCs w:val="24"/>
          <w:rtl/>
        </w:rPr>
        <w:t xml:space="preserve">4. </w:t>
      </w:r>
      <w:r w:rsidRPr="006340A2">
        <w:rPr>
          <w:rFonts w:hint="cs"/>
          <w:b/>
          <w:bCs/>
          <w:sz w:val="24"/>
          <w:szCs w:val="24"/>
          <w:rtl/>
        </w:rPr>
        <w:t xml:space="preserve">האיזון בין חופש הציווי </w:t>
      </w:r>
      <w:r w:rsidR="00727935" w:rsidRPr="006340A2">
        <w:rPr>
          <w:rFonts w:hint="cs"/>
          <w:b/>
          <w:bCs/>
          <w:sz w:val="24"/>
          <w:szCs w:val="24"/>
          <w:rtl/>
        </w:rPr>
        <w:t xml:space="preserve">של המוריש </w:t>
      </w:r>
      <w:r w:rsidRPr="006340A2">
        <w:rPr>
          <w:rFonts w:hint="cs"/>
          <w:b/>
          <w:bCs/>
          <w:sz w:val="24"/>
          <w:szCs w:val="24"/>
          <w:rtl/>
        </w:rPr>
        <w:t>ל</w:t>
      </w:r>
      <w:r w:rsidR="00995CDB" w:rsidRPr="006340A2">
        <w:rPr>
          <w:rFonts w:hint="cs"/>
          <w:b/>
          <w:bCs/>
          <w:sz w:val="24"/>
          <w:szCs w:val="24"/>
          <w:rtl/>
        </w:rPr>
        <w:t xml:space="preserve">בין </w:t>
      </w:r>
      <w:r w:rsidRPr="006340A2">
        <w:rPr>
          <w:rFonts w:hint="cs"/>
          <w:b/>
          <w:bCs/>
          <w:sz w:val="24"/>
          <w:szCs w:val="24"/>
          <w:rtl/>
        </w:rPr>
        <w:t>זכות הגישה לערכאות</w:t>
      </w:r>
      <w:r w:rsidR="00727935" w:rsidRPr="006340A2">
        <w:rPr>
          <w:rFonts w:hint="cs"/>
          <w:b/>
          <w:bCs/>
          <w:sz w:val="24"/>
          <w:szCs w:val="24"/>
          <w:rtl/>
        </w:rPr>
        <w:t xml:space="preserve"> של הנהנה</w:t>
      </w:r>
    </w:p>
    <w:p w14:paraId="0CE89992" w14:textId="77777777" w:rsidR="00995CDB" w:rsidRPr="003C0B63" w:rsidRDefault="00995CDB" w:rsidP="00995CDB">
      <w:pPr>
        <w:spacing w:line="360" w:lineRule="auto"/>
        <w:jc w:val="both"/>
        <w:rPr>
          <w:sz w:val="24"/>
          <w:szCs w:val="24"/>
          <w:rtl/>
        </w:rPr>
      </w:pPr>
    </w:p>
    <w:p w14:paraId="525824CB" w14:textId="66E9BDF0" w:rsidR="00995CDB" w:rsidRDefault="00CE7BBB" w:rsidP="00E25586">
      <w:pPr>
        <w:spacing w:line="360" w:lineRule="auto"/>
        <w:jc w:val="both"/>
        <w:rPr>
          <w:sz w:val="24"/>
          <w:szCs w:val="24"/>
          <w:rtl/>
        </w:rPr>
      </w:pPr>
      <w:r w:rsidRPr="003C0B63">
        <w:rPr>
          <w:rFonts w:hint="cs"/>
          <w:sz w:val="24"/>
          <w:szCs w:val="24"/>
          <w:rtl/>
        </w:rPr>
        <w:t xml:space="preserve">זכויות חוקתיות, ובהן זכות הגישה לערכאות, מטילות על </w:t>
      </w:r>
      <w:r w:rsidR="00462E9B">
        <w:rPr>
          <w:rFonts w:hint="cs"/>
          <w:sz w:val="24"/>
          <w:szCs w:val="24"/>
          <w:rtl/>
        </w:rPr>
        <w:t>רשויות השלטון</w:t>
      </w:r>
      <w:r w:rsidRPr="003C0B63">
        <w:rPr>
          <w:rFonts w:hint="cs"/>
          <w:sz w:val="24"/>
          <w:szCs w:val="24"/>
          <w:rtl/>
        </w:rPr>
        <w:t xml:space="preserve"> את החובה לכבדן.</w:t>
      </w:r>
      <w:r>
        <w:rPr>
          <w:rStyle w:val="a3"/>
          <w:sz w:val="24"/>
          <w:szCs w:val="24"/>
          <w:rtl/>
        </w:rPr>
        <w:footnoteReference w:id="52"/>
      </w:r>
      <w:r w:rsidRPr="003C0B63">
        <w:rPr>
          <w:rFonts w:hint="cs"/>
          <w:sz w:val="24"/>
          <w:szCs w:val="24"/>
          <w:rtl/>
        </w:rPr>
        <w:t xml:space="preserve"> עם זאת, בתי המשפט הכירו בכך שזכויות </w:t>
      </w:r>
      <w:r w:rsidR="00462E9B">
        <w:rPr>
          <w:rFonts w:hint="cs"/>
          <w:sz w:val="24"/>
          <w:szCs w:val="24"/>
          <w:rtl/>
        </w:rPr>
        <w:t xml:space="preserve">חוקתיות </w:t>
      </w:r>
      <w:r w:rsidRPr="003C0B63">
        <w:rPr>
          <w:rFonts w:hint="cs"/>
          <w:sz w:val="24"/>
          <w:szCs w:val="24"/>
          <w:rtl/>
        </w:rPr>
        <w:t xml:space="preserve">שונות </w:t>
      </w:r>
      <w:r w:rsidR="00462E9B">
        <w:rPr>
          <w:rFonts w:hint="cs"/>
          <w:sz w:val="24"/>
          <w:szCs w:val="24"/>
          <w:rtl/>
        </w:rPr>
        <w:t>מחלחלות אל המשפט הפרטי ו</w:t>
      </w:r>
      <w:r w:rsidRPr="003C0B63">
        <w:rPr>
          <w:rFonts w:hint="cs"/>
          <w:sz w:val="24"/>
          <w:szCs w:val="24"/>
          <w:rtl/>
        </w:rPr>
        <w:t>חלות גם במערכת היחסים שבין פרט לפרט.</w:t>
      </w:r>
      <w:bookmarkStart w:id="13" w:name="_Ref499022006"/>
      <w:r>
        <w:rPr>
          <w:rStyle w:val="a3"/>
          <w:sz w:val="24"/>
          <w:szCs w:val="24"/>
          <w:rtl/>
        </w:rPr>
        <w:footnoteReference w:id="53"/>
      </w:r>
      <w:bookmarkEnd w:id="13"/>
      <w:r w:rsidRPr="003C0B63">
        <w:rPr>
          <w:rFonts w:hint="cs"/>
          <w:sz w:val="24"/>
          <w:szCs w:val="24"/>
          <w:rtl/>
        </w:rPr>
        <w:t xml:space="preserve"> בהתאם לעמדה המקובלת כיום, הזכויות החוקתיות חלות במשפט הפרטי בדרך של "תחולה עקיפה".</w:t>
      </w:r>
      <w:r>
        <w:rPr>
          <w:rStyle w:val="a3"/>
          <w:sz w:val="24"/>
          <w:szCs w:val="24"/>
          <w:rtl/>
        </w:rPr>
        <w:footnoteReference w:id="54"/>
      </w:r>
      <w:r w:rsidRPr="003C0B63">
        <w:rPr>
          <w:rFonts w:hint="cs"/>
          <w:sz w:val="24"/>
          <w:szCs w:val="24"/>
          <w:rtl/>
        </w:rPr>
        <w:t xml:space="preserve"> </w:t>
      </w:r>
      <w:r w:rsidR="00C13428">
        <w:rPr>
          <w:rFonts w:hint="cs"/>
          <w:sz w:val="24"/>
          <w:szCs w:val="24"/>
          <w:rtl/>
        </w:rPr>
        <w:t>"</w:t>
      </w:r>
      <w:r w:rsidR="00C13428" w:rsidRPr="00C13428">
        <w:rPr>
          <w:rFonts w:hint="cs"/>
          <w:sz w:val="24"/>
          <w:szCs w:val="24"/>
          <w:rtl/>
        </w:rPr>
        <w:t xml:space="preserve">על פי מודל זה, חוקי היסוד משנת 1992 אינם חלים על צדדים פרטיים, אך </w:t>
      </w:r>
      <w:r w:rsidR="00C13428" w:rsidRPr="0087121F">
        <w:rPr>
          <w:rFonts w:hint="cs"/>
          <w:sz w:val="24"/>
          <w:szCs w:val="24"/>
          <w:rtl/>
        </w:rPr>
        <w:t>הם משמשים מקור השראה לפרשנותם</w:t>
      </w:r>
      <w:r w:rsidR="00C13428" w:rsidRPr="00C13428">
        <w:rPr>
          <w:rFonts w:hint="cs"/>
          <w:sz w:val="24"/>
          <w:szCs w:val="24"/>
          <w:rtl/>
        </w:rPr>
        <w:t xml:space="preserve"> של מושגים בעלי 'רקמה פתוחה', דוגמת תקנת הציבור, סבירות ותום-לב. בדרך זו הם משפיעים על המשקל היחסי שניתם לזכויות במסגרת דוקטרינות קיימות של המשפט הפרטי</w:t>
      </w:r>
      <w:r w:rsidR="00C13428">
        <w:rPr>
          <w:rFonts w:hint="cs"/>
          <w:sz w:val="24"/>
          <w:szCs w:val="24"/>
          <w:rtl/>
        </w:rPr>
        <w:t>".</w:t>
      </w:r>
      <w:r>
        <w:rPr>
          <w:rStyle w:val="a3"/>
          <w:sz w:val="24"/>
          <w:szCs w:val="24"/>
          <w:rtl/>
        </w:rPr>
        <w:footnoteReference w:id="55"/>
      </w:r>
      <w:r w:rsidR="00CD5865">
        <w:rPr>
          <w:rFonts w:hint="cs"/>
          <w:sz w:val="24"/>
          <w:szCs w:val="24"/>
          <w:rtl/>
        </w:rPr>
        <w:t xml:space="preserve"> התחולה העקיפה באה לידי ביטוי גם בדיני הירושה והצוואה. כפי שצוין לעיל, חופש הציווי של המצווה נגזר מזכויות חוקתיות כגון</w:t>
      </w:r>
      <w:r w:rsidR="008D3E63">
        <w:rPr>
          <w:rFonts w:hint="cs"/>
          <w:sz w:val="24"/>
          <w:szCs w:val="24"/>
          <w:rtl/>
        </w:rPr>
        <w:t xml:space="preserve"> הזכות לאוטונומיה ו</w:t>
      </w:r>
      <w:r w:rsidR="009A68E1">
        <w:rPr>
          <w:rFonts w:hint="cs"/>
          <w:sz w:val="24"/>
          <w:szCs w:val="24"/>
          <w:rtl/>
        </w:rPr>
        <w:t>ה</w:t>
      </w:r>
      <w:r w:rsidR="008D3E63">
        <w:rPr>
          <w:rFonts w:hint="cs"/>
          <w:sz w:val="24"/>
          <w:szCs w:val="24"/>
          <w:rtl/>
        </w:rPr>
        <w:t xml:space="preserve">זכות </w:t>
      </w:r>
      <w:r w:rsidR="009A68E1">
        <w:rPr>
          <w:rFonts w:hint="cs"/>
          <w:sz w:val="24"/>
          <w:szCs w:val="24"/>
          <w:rtl/>
        </w:rPr>
        <w:t>ל</w:t>
      </w:r>
      <w:r w:rsidR="008D3E63">
        <w:rPr>
          <w:rFonts w:hint="cs"/>
          <w:sz w:val="24"/>
          <w:szCs w:val="24"/>
          <w:rtl/>
        </w:rPr>
        <w:t>קניין</w:t>
      </w:r>
      <w:r w:rsidR="00100020">
        <w:rPr>
          <w:rFonts w:hint="cs"/>
          <w:sz w:val="24"/>
          <w:szCs w:val="24"/>
          <w:rtl/>
        </w:rPr>
        <w:t>,</w:t>
      </w:r>
      <w:r w:rsidR="00CD5865">
        <w:rPr>
          <w:rFonts w:hint="cs"/>
          <w:sz w:val="24"/>
          <w:szCs w:val="24"/>
          <w:rtl/>
        </w:rPr>
        <w:t xml:space="preserve"> </w:t>
      </w:r>
      <w:r w:rsidR="009A68E1">
        <w:rPr>
          <w:rFonts w:hint="cs"/>
          <w:sz w:val="24"/>
          <w:szCs w:val="24"/>
          <w:rtl/>
        </w:rPr>
        <w:t xml:space="preserve">ואילו זכות הגישה לערכאות של הנהנים (היורשים) היא כאמור זכות בעלת מעמד חוקתי שאינו שנוי במחלוקת. </w:t>
      </w:r>
      <w:r w:rsidR="00CC18D7">
        <w:rPr>
          <w:rFonts w:hint="cs"/>
          <w:sz w:val="24"/>
          <w:szCs w:val="24"/>
          <w:rtl/>
        </w:rPr>
        <w:t xml:space="preserve">זכויות חוקתיות </w:t>
      </w:r>
      <w:r w:rsidR="00E25586">
        <w:rPr>
          <w:rFonts w:hint="cs"/>
          <w:sz w:val="24"/>
          <w:szCs w:val="24"/>
          <w:rtl/>
        </w:rPr>
        <w:t xml:space="preserve">אלו משפיעות </w:t>
      </w:r>
      <w:r w:rsidR="00CC18D7">
        <w:rPr>
          <w:rFonts w:hint="cs"/>
          <w:sz w:val="24"/>
          <w:szCs w:val="24"/>
          <w:rtl/>
        </w:rPr>
        <w:t xml:space="preserve">על דיני הירושה </w:t>
      </w:r>
      <w:r w:rsidR="00FE0CA2">
        <w:rPr>
          <w:rFonts w:hint="cs"/>
          <w:sz w:val="24"/>
          <w:szCs w:val="24"/>
          <w:rtl/>
        </w:rPr>
        <w:t>באופן כללי ו</w:t>
      </w:r>
      <w:r w:rsidR="00CC18D7">
        <w:rPr>
          <w:rFonts w:hint="cs"/>
          <w:sz w:val="24"/>
          <w:szCs w:val="24"/>
          <w:rtl/>
        </w:rPr>
        <w:t>על פרשנותן של תניות סילוקין</w:t>
      </w:r>
      <w:r w:rsidR="00FE0CA2">
        <w:rPr>
          <w:rFonts w:hint="cs"/>
          <w:sz w:val="24"/>
          <w:szCs w:val="24"/>
          <w:rtl/>
        </w:rPr>
        <w:t xml:space="preserve"> באופן </w:t>
      </w:r>
      <w:r w:rsidR="00E25586">
        <w:rPr>
          <w:rFonts w:hint="cs"/>
          <w:sz w:val="24"/>
          <w:szCs w:val="24"/>
          <w:rtl/>
        </w:rPr>
        <w:t>פרטני</w:t>
      </w:r>
      <w:r w:rsidR="00CC18D7">
        <w:rPr>
          <w:rFonts w:hint="cs"/>
          <w:sz w:val="24"/>
          <w:szCs w:val="24"/>
          <w:rtl/>
        </w:rPr>
        <w:t xml:space="preserve">. כפי שנראה להלן, </w:t>
      </w:r>
      <w:r w:rsidRPr="003C0B63">
        <w:rPr>
          <w:rFonts w:hint="cs"/>
          <w:sz w:val="24"/>
          <w:szCs w:val="24"/>
          <w:rtl/>
        </w:rPr>
        <w:t xml:space="preserve">בכל הנוגע לתניות סילוקין, </w:t>
      </w:r>
      <w:r w:rsidR="00CC18D7">
        <w:rPr>
          <w:rFonts w:hint="cs"/>
          <w:sz w:val="24"/>
          <w:szCs w:val="24"/>
          <w:rtl/>
        </w:rPr>
        <w:t xml:space="preserve">המושג בעל הרקמה הפתוחה אשר פרשנותו "קלטה" את הזכויות הרלוונטיות הניצבות על הכף ואשר השפיעו על פרשנותו </w:t>
      </w:r>
      <w:r w:rsidR="00CC18D7">
        <w:rPr>
          <w:sz w:val="24"/>
          <w:szCs w:val="24"/>
          <w:rtl/>
        </w:rPr>
        <w:t>–</w:t>
      </w:r>
      <w:r w:rsidR="00CC18D7">
        <w:rPr>
          <w:rFonts w:hint="cs"/>
          <w:sz w:val="24"/>
          <w:szCs w:val="24"/>
          <w:rtl/>
        </w:rPr>
        <w:t xml:space="preserve"> זכותו של </w:t>
      </w:r>
      <w:r w:rsidRPr="003C0B63">
        <w:rPr>
          <w:rFonts w:hint="cs"/>
          <w:sz w:val="24"/>
          <w:szCs w:val="24"/>
          <w:rtl/>
        </w:rPr>
        <w:t xml:space="preserve">המוריש שצוואתו תקוים בהתאם לרצונו </w:t>
      </w:r>
      <w:r w:rsidR="00CC18D7">
        <w:rPr>
          <w:rFonts w:hint="cs"/>
          <w:sz w:val="24"/>
          <w:szCs w:val="24"/>
          <w:rtl/>
        </w:rPr>
        <w:t>ו</w:t>
      </w:r>
      <w:r w:rsidRPr="003C0B63">
        <w:rPr>
          <w:rFonts w:hint="cs"/>
          <w:sz w:val="24"/>
          <w:szCs w:val="24"/>
          <w:rtl/>
        </w:rPr>
        <w:t xml:space="preserve">זכות הגישה לערכאות של היורש </w:t>
      </w:r>
      <w:r w:rsidR="00CC18D7">
        <w:rPr>
          <w:rFonts w:hint="cs"/>
          <w:sz w:val="24"/>
          <w:szCs w:val="24"/>
          <w:rtl/>
        </w:rPr>
        <w:t xml:space="preserve">לפנות לערכאות נגד הצוואה </w:t>
      </w:r>
      <w:r w:rsidR="00CC18D7">
        <w:rPr>
          <w:sz w:val="24"/>
          <w:szCs w:val="24"/>
          <w:rtl/>
        </w:rPr>
        <w:t>–</w:t>
      </w:r>
      <w:r w:rsidR="00CC18D7">
        <w:rPr>
          <w:rFonts w:hint="cs"/>
          <w:sz w:val="24"/>
          <w:szCs w:val="24"/>
          <w:rtl/>
        </w:rPr>
        <w:t xml:space="preserve"> הוא "</w:t>
      </w:r>
      <w:r w:rsidRPr="003C0B63">
        <w:rPr>
          <w:rFonts w:hint="cs"/>
          <w:sz w:val="24"/>
          <w:szCs w:val="24"/>
          <w:rtl/>
        </w:rPr>
        <w:t>מבחן</w:t>
      </w:r>
      <w:r w:rsidRPr="003C0B63">
        <w:rPr>
          <w:sz w:val="24"/>
          <w:szCs w:val="24"/>
          <w:rtl/>
        </w:rPr>
        <w:t xml:space="preserve"> תקנת הציבור</w:t>
      </w:r>
      <w:r w:rsidR="00CC18D7">
        <w:rPr>
          <w:rFonts w:hint="cs"/>
          <w:sz w:val="24"/>
          <w:szCs w:val="24"/>
          <w:rtl/>
        </w:rPr>
        <w:t>"</w:t>
      </w:r>
      <w:r w:rsidRPr="003C0B63">
        <w:rPr>
          <w:sz w:val="24"/>
          <w:szCs w:val="24"/>
          <w:rtl/>
        </w:rPr>
        <w:t>.</w:t>
      </w:r>
      <w:r w:rsidR="00243F8A" w:rsidRPr="003C0B63">
        <w:rPr>
          <w:rFonts w:hint="cs"/>
          <w:sz w:val="24"/>
          <w:szCs w:val="24"/>
          <w:rtl/>
        </w:rPr>
        <w:t xml:space="preserve"> </w:t>
      </w:r>
      <w:r w:rsidR="00581173">
        <w:rPr>
          <w:rFonts w:hint="cs"/>
          <w:sz w:val="24"/>
          <w:szCs w:val="24"/>
          <w:rtl/>
        </w:rPr>
        <w:t>אלא ש</w:t>
      </w:r>
      <w:r w:rsidR="00243F8A" w:rsidRPr="003C0B63">
        <w:rPr>
          <w:sz w:val="24"/>
          <w:szCs w:val="24"/>
          <w:rtl/>
        </w:rPr>
        <w:t xml:space="preserve">סעיף 34 לחוק הירושה, </w:t>
      </w:r>
      <w:r w:rsidR="00243F8A" w:rsidRPr="003C0B63">
        <w:rPr>
          <w:rFonts w:hint="cs"/>
          <w:sz w:val="24"/>
          <w:szCs w:val="24"/>
          <w:rtl/>
        </w:rPr>
        <w:t>המהווה הסדר מקביל לזה הקבוע ב</w:t>
      </w:r>
      <w:r w:rsidR="00243F8A" w:rsidRPr="003C0B63">
        <w:rPr>
          <w:sz w:val="24"/>
          <w:szCs w:val="24"/>
          <w:rtl/>
        </w:rPr>
        <w:t xml:space="preserve">סעיף 30 לחוק החוזים (חלק כללי), </w:t>
      </w:r>
      <w:r w:rsidR="00243F8A" w:rsidRPr="003C0B63">
        <w:rPr>
          <w:rFonts w:hint="cs"/>
          <w:sz w:val="24"/>
          <w:szCs w:val="24"/>
          <w:rtl/>
        </w:rPr>
        <w:t>ה</w:t>
      </w:r>
      <w:r w:rsidR="00243F8A" w:rsidRPr="003C0B63">
        <w:rPr>
          <w:sz w:val="24"/>
          <w:szCs w:val="24"/>
          <w:rtl/>
        </w:rPr>
        <w:t>תשל"ג-1973,</w:t>
      </w:r>
      <w:r>
        <w:rPr>
          <w:rStyle w:val="a3"/>
          <w:sz w:val="24"/>
          <w:szCs w:val="24"/>
          <w:rtl/>
        </w:rPr>
        <w:footnoteReference w:id="56"/>
      </w:r>
      <w:r w:rsidR="00243F8A" w:rsidRPr="003C0B63">
        <w:rPr>
          <w:sz w:val="24"/>
          <w:szCs w:val="24"/>
          <w:rtl/>
        </w:rPr>
        <w:t xml:space="preserve"> </w:t>
      </w:r>
      <w:r w:rsidR="00243F8A" w:rsidRPr="003C0B63">
        <w:rPr>
          <w:rFonts w:hint="cs"/>
          <w:sz w:val="24"/>
          <w:szCs w:val="24"/>
          <w:rtl/>
        </w:rPr>
        <w:t>ק</w:t>
      </w:r>
      <w:r w:rsidR="00243F8A" w:rsidRPr="003C0B63">
        <w:rPr>
          <w:sz w:val="24"/>
          <w:szCs w:val="24"/>
          <w:rtl/>
        </w:rPr>
        <w:t xml:space="preserve">ובע </w:t>
      </w:r>
      <w:r w:rsidR="00243F8A" w:rsidRPr="003C0B63">
        <w:rPr>
          <w:rFonts w:hint="cs"/>
          <w:sz w:val="24"/>
          <w:szCs w:val="24"/>
          <w:rtl/>
        </w:rPr>
        <w:t>אך</w:t>
      </w:r>
      <w:r w:rsidR="00243F8A" w:rsidRPr="003C0B63">
        <w:rPr>
          <w:sz w:val="24"/>
          <w:szCs w:val="24"/>
          <w:rtl/>
        </w:rPr>
        <w:t>: "הוראת צוואה שביצועה בלתי חוקי, בלתי מוסרי או בלתי אפשרי - בטלה"</w:t>
      </w:r>
      <w:r w:rsidR="00581173">
        <w:rPr>
          <w:rFonts w:hint="cs"/>
          <w:sz w:val="24"/>
          <w:szCs w:val="24"/>
          <w:rtl/>
        </w:rPr>
        <w:t>.</w:t>
      </w:r>
      <w:r w:rsidR="00243F8A" w:rsidRPr="003C0B63">
        <w:rPr>
          <w:rFonts w:hint="cs"/>
          <w:sz w:val="24"/>
          <w:szCs w:val="24"/>
          <w:rtl/>
        </w:rPr>
        <w:t xml:space="preserve"> בניגוד לחוק החוזים </w:t>
      </w:r>
      <w:r w:rsidR="00581173">
        <w:rPr>
          <w:rFonts w:hint="cs"/>
          <w:sz w:val="24"/>
          <w:szCs w:val="24"/>
          <w:rtl/>
        </w:rPr>
        <w:t>ה</w:t>
      </w:r>
      <w:r w:rsidR="00243F8A" w:rsidRPr="003C0B63">
        <w:rPr>
          <w:rFonts w:hint="cs"/>
          <w:sz w:val="24"/>
          <w:szCs w:val="24"/>
          <w:rtl/>
        </w:rPr>
        <w:t xml:space="preserve">הסדר </w:t>
      </w:r>
      <w:r w:rsidR="00581173">
        <w:rPr>
          <w:rFonts w:hint="cs"/>
          <w:sz w:val="24"/>
          <w:szCs w:val="24"/>
          <w:rtl/>
        </w:rPr>
        <w:t xml:space="preserve">המקביל בחוק הירושה </w:t>
      </w:r>
      <w:r w:rsidR="00243F8A" w:rsidRPr="003C0B63">
        <w:rPr>
          <w:rFonts w:hint="cs"/>
          <w:sz w:val="24"/>
          <w:szCs w:val="24"/>
          <w:rtl/>
        </w:rPr>
        <w:t>מצומצם יותר ו</w:t>
      </w:r>
      <w:r w:rsidR="00243F8A" w:rsidRPr="003C0B63">
        <w:rPr>
          <w:sz w:val="24"/>
          <w:szCs w:val="24"/>
          <w:rtl/>
        </w:rPr>
        <w:t xml:space="preserve">אינו </w:t>
      </w:r>
      <w:r w:rsidR="00243F8A" w:rsidRPr="003C0B63">
        <w:rPr>
          <w:rFonts w:hint="cs"/>
          <w:sz w:val="24"/>
          <w:szCs w:val="24"/>
          <w:rtl/>
        </w:rPr>
        <w:t>כולל</w:t>
      </w:r>
      <w:r w:rsidR="00243F8A" w:rsidRPr="003C0B63">
        <w:rPr>
          <w:sz w:val="24"/>
          <w:szCs w:val="24"/>
          <w:rtl/>
        </w:rPr>
        <w:t xml:space="preserve"> כל </w:t>
      </w:r>
      <w:r w:rsidR="00F5585B" w:rsidRPr="003C0B63">
        <w:rPr>
          <w:rFonts w:hint="cs"/>
          <w:sz w:val="24"/>
          <w:szCs w:val="24"/>
          <w:rtl/>
        </w:rPr>
        <w:t>התייחסות</w:t>
      </w:r>
      <w:r w:rsidR="00243F8A" w:rsidRPr="003C0B63">
        <w:rPr>
          <w:sz w:val="24"/>
          <w:szCs w:val="24"/>
          <w:rtl/>
        </w:rPr>
        <w:t xml:space="preserve"> לצוואה או הוראה בה, הנוגדים את תקנת הציבור</w:t>
      </w:r>
      <w:r w:rsidR="00243F8A" w:rsidRPr="003C0B63">
        <w:rPr>
          <w:rFonts w:hint="cs"/>
          <w:sz w:val="24"/>
          <w:szCs w:val="24"/>
          <w:rtl/>
        </w:rPr>
        <w:t>.</w:t>
      </w:r>
      <w:r>
        <w:rPr>
          <w:rStyle w:val="a3"/>
          <w:sz w:val="24"/>
          <w:szCs w:val="24"/>
          <w:rtl/>
        </w:rPr>
        <w:footnoteReference w:id="57"/>
      </w:r>
      <w:r w:rsidR="00243F8A" w:rsidRPr="003C0B63">
        <w:rPr>
          <w:rFonts w:hint="cs"/>
          <w:sz w:val="24"/>
          <w:szCs w:val="24"/>
          <w:rtl/>
        </w:rPr>
        <w:t xml:space="preserve"> כאשר נערך דיון בכנסת בשאלת תוקפה של צוואה הנוגדת את תקנת הציבור, הציע חבר הכנסת דאז מרידור להוסיף לסעיף חלופה לפיה הוראה שביצועה נוגד את תקנת הציבור בטלה.</w:t>
      </w:r>
      <w:r>
        <w:rPr>
          <w:rStyle w:val="a3"/>
          <w:sz w:val="24"/>
          <w:szCs w:val="24"/>
          <w:rtl/>
        </w:rPr>
        <w:footnoteReference w:id="58"/>
      </w:r>
      <w:r w:rsidR="00243F8A" w:rsidRPr="003C0B63">
        <w:rPr>
          <w:rFonts w:hint="cs"/>
          <w:sz w:val="24"/>
          <w:szCs w:val="24"/>
          <w:rtl/>
        </w:rPr>
        <w:t xml:space="preserve"> הצעה זו נדחתה וראש ועדת חוקה חוק ומשפט ציין כי היא מיותרת מן הטעם שהוראה בצוואה הנוגדת את תקנת הציבור תהא בטלה גם ללא התייחסות מיוחדת לכך בחוק.</w:t>
      </w:r>
      <w:r>
        <w:rPr>
          <w:rStyle w:val="a3"/>
          <w:sz w:val="24"/>
          <w:szCs w:val="24"/>
          <w:rtl/>
        </w:rPr>
        <w:footnoteReference w:id="59"/>
      </w:r>
      <w:r w:rsidR="00243F8A" w:rsidRPr="003C0B63">
        <w:rPr>
          <w:rFonts w:hint="cs"/>
          <w:sz w:val="24"/>
          <w:szCs w:val="24"/>
          <w:rtl/>
        </w:rPr>
        <w:t xml:space="preserve"> </w:t>
      </w:r>
      <w:r w:rsidR="00F5585B" w:rsidRPr="003C0B63">
        <w:rPr>
          <w:rFonts w:hint="cs"/>
          <w:sz w:val="24"/>
          <w:szCs w:val="24"/>
          <w:rtl/>
        </w:rPr>
        <w:t>היעדר הוראה בדבר צוואה הנוגדת את תקנת הציבור (אף במקרים בהם אין מדובר בתניית סילוקין) עוררה בעבר מחלוקת עקרונית בין שופטי בית המשפט העליון. סוגיה זו התעוררה בפסק הדין המנחה לעניין תוקפן של תניות סילוקין</w:t>
      </w:r>
      <w:r w:rsidR="00A528B1">
        <w:rPr>
          <w:rFonts w:hint="cs"/>
          <w:sz w:val="24"/>
          <w:szCs w:val="24"/>
          <w:rtl/>
        </w:rPr>
        <w:t>,</w:t>
      </w:r>
      <w:r w:rsidR="00F5585B" w:rsidRPr="003C0B63">
        <w:rPr>
          <w:rFonts w:hint="cs"/>
          <w:sz w:val="24"/>
          <w:szCs w:val="24"/>
          <w:rtl/>
        </w:rPr>
        <w:t xml:space="preserve"> אליו נפנה כעת.</w:t>
      </w:r>
    </w:p>
    <w:p w14:paraId="00CBEB17" w14:textId="77777777" w:rsidR="00995CDB" w:rsidRPr="003C0B63" w:rsidRDefault="00995CDB" w:rsidP="00995CDB">
      <w:pPr>
        <w:spacing w:line="360" w:lineRule="auto"/>
        <w:jc w:val="both"/>
        <w:rPr>
          <w:sz w:val="24"/>
          <w:szCs w:val="24"/>
          <w:rtl/>
        </w:rPr>
      </w:pPr>
    </w:p>
    <w:p w14:paraId="2A0676BF" w14:textId="77777777" w:rsidR="001A539B" w:rsidRPr="00D8171A" w:rsidRDefault="00CE7BBB" w:rsidP="00CB78EA">
      <w:pPr>
        <w:spacing w:line="360" w:lineRule="auto"/>
        <w:jc w:val="both"/>
        <w:rPr>
          <w:b/>
          <w:bCs/>
          <w:sz w:val="24"/>
          <w:szCs w:val="24"/>
        </w:rPr>
      </w:pPr>
      <w:r w:rsidRPr="00D8171A">
        <w:rPr>
          <w:rFonts w:hint="cs"/>
          <w:b/>
          <w:bCs/>
          <w:sz w:val="24"/>
          <w:szCs w:val="24"/>
          <w:rtl/>
        </w:rPr>
        <w:t>5. התפתחות ההלכה בישראל ביחס לתניית סילוקין</w:t>
      </w:r>
    </w:p>
    <w:p w14:paraId="5506495D" w14:textId="77777777" w:rsidR="005D5BE5" w:rsidRPr="003C0B63" w:rsidRDefault="005D5BE5" w:rsidP="005D5BE5">
      <w:pPr>
        <w:pStyle w:val="ad"/>
        <w:spacing w:line="360" w:lineRule="auto"/>
        <w:ind w:left="927"/>
        <w:jc w:val="both"/>
        <w:rPr>
          <w:sz w:val="24"/>
          <w:szCs w:val="24"/>
        </w:rPr>
      </w:pPr>
    </w:p>
    <w:p w14:paraId="6D39612B" w14:textId="77777777" w:rsidR="009923F0" w:rsidRPr="003C0B63" w:rsidRDefault="00CE7BBB" w:rsidP="009923F0">
      <w:pPr>
        <w:spacing w:line="360" w:lineRule="auto"/>
        <w:jc w:val="both"/>
        <w:rPr>
          <w:sz w:val="24"/>
          <w:szCs w:val="24"/>
          <w:rtl/>
        </w:rPr>
      </w:pPr>
      <w:r w:rsidRPr="003C0B63">
        <w:rPr>
          <w:sz w:val="24"/>
          <w:szCs w:val="24"/>
          <w:rtl/>
        </w:rPr>
        <w:t>השאלה בדבר</w:t>
      </w:r>
      <w:r w:rsidRPr="003C0B63">
        <w:rPr>
          <w:rFonts w:hint="cs"/>
          <w:sz w:val="24"/>
          <w:szCs w:val="24"/>
          <w:rtl/>
        </w:rPr>
        <w:t xml:space="preserve"> תוקפה של</w:t>
      </w:r>
      <w:r w:rsidRPr="003C0B63">
        <w:rPr>
          <w:sz w:val="24"/>
          <w:szCs w:val="24"/>
          <w:rtl/>
        </w:rPr>
        <w:t xml:space="preserve"> </w:t>
      </w:r>
      <w:r w:rsidRPr="003C0B63">
        <w:rPr>
          <w:rFonts w:hint="cs"/>
          <w:sz w:val="24"/>
          <w:szCs w:val="24"/>
          <w:rtl/>
        </w:rPr>
        <w:t>תניית סילוקין</w:t>
      </w:r>
      <w:r w:rsidRPr="003C0B63">
        <w:rPr>
          <w:sz w:val="24"/>
          <w:szCs w:val="24"/>
          <w:rtl/>
        </w:rPr>
        <w:t xml:space="preserve"> בצוואה החוסמת את הגישה לערכאות</w:t>
      </w:r>
      <w:r w:rsidRPr="003C0B63">
        <w:rPr>
          <w:rFonts w:hint="cs"/>
          <w:sz w:val="24"/>
          <w:szCs w:val="24"/>
          <w:rtl/>
        </w:rPr>
        <w:t xml:space="preserve"> באופן </w:t>
      </w:r>
      <w:r w:rsidRPr="003C0B63">
        <w:rPr>
          <w:sz w:val="24"/>
          <w:szCs w:val="24"/>
          <w:rtl/>
        </w:rPr>
        <w:t xml:space="preserve">הנוגד את תקנת הציבור, התעוררה </w:t>
      </w:r>
      <w:r w:rsidRPr="003C0B63">
        <w:rPr>
          <w:rFonts w:hint="cs"/>
          <w:sz w:val="24"/>
          <w:szCs w:val="24"/>
          <w:rtl/>
        </w:rPr>
        <w:t xml:space="preserve">באופן חזיתי </w:t>
      </w:r>
      <w:r w:rsidRPr="003C0B63">
        <w:rPr>
          <w:sz w:val="24"/>
          <w:szCs w:val="24"/>
          <w:rtl/>
        </w:rPr>
        <w:t xml:space="preserve">בפסק הדין המנחה </w:t>
      </w:r>
      <w:r w:rsidRPr="003C0B63">
        <w:rPr>
          <w:rFonts w:hint="cs"/>
          <w:sz w:val="24"/>
          <w:szCs w:val="24"/>
          <w:rtl/>
        </w:rPr>
        <w:t>שניתן ב</w:t>
      </w:r>
      <w:r w:rsidRPr="003C0B63">
        <w:rPr>
          <w:sz w:val="24"/>
          <w:szCs w:val="24"/>
          <w:rtl/>
        </w:rPr>
        <w:t xml:space="preserve">פרשת </w:t>
      </w:r>
      <w:r w:rsidRPr="003C0B63">
        <w:rPr>
          <w:b/>
          <w:bCs/>
          <w:sz w:val="24"/>
          <w:szCs w:val="24"/>
          <w:rtl/>
        </w:rPr>
        <w:t>אנגלמן</w:t>
      </w:r>
      <w:r w:rsidRPr="003C0B63">
        <w:rPr>
          <w:rFonts w:hint="cs"/>
          <w:sz w:val="24"/>
          <w:szCs w:val="24"/>
          <w:rtl/>
        </w:rPr>
        <w:t>.</w:t>
      </w:r>
      <w:bookmarkStart w:id="14" w:name="_Ref525831963"/>
      <w:r>
        <w:rPr>
          <w:rStyle w:val="a3"/>
          <w:sz w:val="24"/>
          <w:szCs w:val="24"/>
          <w:rtl/>
        </w:rPr>
        <w:footnoteReference w:id="60"/>
      </w:r>
      <w:bookmarkEnd w:id="14"/>
      <w:r w:rsidRPr="003C0B63">
        <w:rPr>
          <w:sz w:val="24"/>
          <w:szCs w:val="24"/>
          <w:rtl/>
        </w:rPr>
        <w:t xml:space="preserve"> באותו מקרה התנגדה המערערת לקיום צוואת אימה בטענות שונות</w:t>
      </w:r>
      <w:r w:rsidRPr="003C0B63">
        <w:rPr>
          <w:rFonts w:hint="cs"/>
          <w:sz w:val="24"/>
          <w:szCs w:val="24"/>
          <w:rtl/>
        </w:rPr>
        <w:t>,</w:t>
      </w:r>
      <w:r>
        <w:rPr>
          <w:rStyle w:val="a3"/>
          <w:sz w:val="24"/>
          <w:szCs w:val="24"/>
          <w:rtl/>
        </w:rPr>
        <w:footnoteReference w:id="61"/>
      </w:r>
      <w:r w:rsidRPr="003C0B63">
        <w:rPr>
          <w:sz w:val="24"/>
          <w:szCs w:val="24"/>
          <w:rtl/>
        </w:rPr>
        <w:t xml:space="preserve"> </w:t>
      </w:r>
      <w:r w:rsidRPr="003C0B63">
        <w:rPr>
          <w:rFonts w:hint="cs"/>
          <w:sz w:val="24"/>
          <w:szCs w:val="24"/>
          <w:rtl/>
        </w:rPr>
        <w:t xml:space="preserve">לרבות בשל כך שכללה </w:t>
      </w:r>
      <w:r w:rsidRPr="003C0B63">
        <w:rPr>
          <w:sz w:val="24"/>
          <w:szCs w:val="24"/>
          <w:rtl/>
        </w:rPr>
        <w:t xml:space="preserve">תניית סילוקין בזו הלשון: </w:t>
      </w:r>
    </w:p>
    <w:p w14:paraId="330383DB" w14:textId="77777777" w:rsidR="009923F0" w:rsidRPr="003C0B63" w:rsidRDefault="009923F0" w:rsidP="009923F0">
      <w:pPr>
        <w:spacing w:line="360" w:lineRule="auto"/>
        <w:jc w:val="both"/>
        <w:rPr>
          <w:sz w:val="24"/>
          <w:szCs w:val="24"/>
          <w:rtl/>
        </w:rPr>
      </w:pPr>
    </w:p>
    <w:p w14:paraId="28E63F41" w14:textId="77777777" w:rsidR="009923F0" w:rsidRPr="003C0B63" w:rsidRDefault="00CE7BBB" w:rsidP="009923F0">
      <w:pPr>
        <w:spacing w:line="360" w:lineRule="auto"/>
        <w:ind w:left="1134" w:right="1134"/>
        <w:jc w:val="both"/>
        <w:rPr>
          <w:sz w:val="24"/>
          <w:szCs w:val="24"/>
          <w:rtl/>
        </w:rPr>
      </w:pPr>
      <w:r w:rsidRPr="003C0B63">
        <w:rPr>
          <w:sz w:val="24"/>
          <w:szCs w:val="24"/>
          <w:rtl/>
        </w:rPr>
        <w:t xml:space="preserve">"אני דורשת שצוואתי הנ"ל תכובד. במידה ובתי יהודית אנגלמן </w:t>
      </w:r>
      <w:r w:rsidRPr="003C0B63">
        <w:rPr>
          <w:b/>
          <w:bCs/>
          <w:sz w:val="24"/>
          <w:szCs w:val="24"/>
          <w:rtl/>
        </w:rPr>
        <w:t>תתנגד לצוואתי</w:t>
      </w:r>
      <w:r w:rsidRPr="003C0B63">
        <w:rPr>
          <w:sz w:val="24"/>
          <w:szCs w:val="24"/>
          <w:rtl/>
        </w:rPr>
        <w:t xml:space="preserve"> אזי שהיא תסולק מעיזבוני. במקרה הזה בתי קליין מרטה תהייה היורשת היחידה והכללית שלי".</w:t>
      </w:r>
      <w:r w:rsidRPr="003C0B63">
        <w:rPr>
          <w:rFonts w:hint="cs"/>
          <w:sz w:val="24"/>
          <w:szCs w:val="24"/>
          <w:rtl/>
        </w:rPr>
        <w:t xml:space="preserve"> (ההדגשה הוספה)</w:t>
      </w:r>
    </w:p>
    <w:p w14:paraId="24155A29" w14:textId="77777777" w:rsidR="009923F0" w:rsidRPr="003C0B63" w:rsidRDefault="009923F0" w:rsidP="009923F0">
      <w:pPr>
        <w:spacing w:line="360" w:lineRule="auto"/>
        <w:jc w:val="both"/>
        <w:rPr>
          <w:sz w:val="24"/>
          <w:szCs w:val="24"/>
          <w:rtl/>
        </w:rPr>
      </w:pPr>
    </w:p>
    <w:p w14:paraId="62309D8D" w14:textId="269D393C" w:rsidR="009923F0" w:rsidRPr="003C0B63" w:rsidRDefault="00CE7BBB" w:rsidP="00B14398">
      <w:pPr>
        <w:spacing w:line="360" w:lineRule="auto"/>
        <w:jc w:val="both"/>
        <w:rPr>
          <w:sz w:val="24"/>
          <w:szCs w:val="24"/>
          <w:rtl/>
        </w:rPr>
      </w:pPr>
      <w:r w:rsidRPr="003C0B63">
        <w:rPr>
          <w:sz w:val="24"/>
          <w:szCs w:val="24"/>
          <w:rtl/>
        </w:rPr>
        <w:t>המערערת פנתה אל בית המשפט ו</w:t>
      </w:r>
      <w:r w:rsidRPr="003C0B63">
        <w:rPr>
          <w:rFonts w:hint="cs"/>
          <w:sz w:val="24"/>
          <w:szCs w:val="24"/>
          <w:rtl/>
        </w:rPr>
        <w:t>טענה, בין היתר, כי יש</w:t>
      </w:r>
      <w:r w:rsidRPr="003C0B63">
        <w:rPr>
          <w:sz w:val="24"/>
          <w:szCs w:val="24"/>
          <w:rtl/>
        </w:rPr>
        <w:t xml:space="preserve"> </w:t>
      </w:r>
      <w:r w:rsidRPr="003C0B63">
        <w:rPr>
          <w:rFonts w:hint="cs"/>
          <w:sz w:val="24"/>
          <w:szCs w:val="24"/>
          <w:rtl/>
        </w:rPr>
        <w:t>לפסול</w:t>
      </w:r>
      <w:r w:rsidRPr="003C0B63">
        <w:rPr>
          <w:sz w:val="24"/>
          <w:szCs w:val="24"/>
          <w:rtl/>
        </w:rPr>
        <w:t xml:space="preserve"> את תניית הסילוקין </w:t>
      </w:r>
      <w:r w:rsidRPr="003C0B63">
        <w:rPr>
          <w:rFonts w:hint="cs"/>
          <w:sz w:val="24"/>
          <w:szCs w:val="24"/>
          <w:rtl/>
        </w:rPr>
        <w:t>משום</w:t>
      </w:r>
      <w:r w:rsidRPr="003C0B63">
        <w:rPr>
          <w:sz w:val="24"/>
          <w:szCs w:val="24"/>
          <w:rtl/>
        </w:rPr>
        <w:t xml:space="preserve"> שמניעת אפשרות פנייה לבית</w:t>
      </w:r>
      <w:r w:rsidR="00B14398">
        <w:rPr>
          <w:rFonts w:hint="cs"/>
          <w:sz w:val="24"/>
          <w:szCs w:val="24"/>
          <w:rtl/>
        </w:rPr>
        <w:t xml:space="preserve"> </w:t>
      </w:r>
      <w:r w:rsidRPr="003C0B63">
        <w:rPr>
          <w:sz w:val="24"/>
          <w:szCs w:val="24"/>
          <w:rtl/>
        </w:rPr>
        <w:t>המשפט</w:t>
      </w:r>
      <w:r w:rsidRPr="003C0B63">
        <w:rPr>
          <w:rFonts w:hint="cs"/>
          <w:sz w:val="24"/>
          <w:szCs w:val="24"/>
          <w:rtl/>
        </w:rPr>
        <w:t xml:space="preserve"> </w:t>
      </w:r>
      <w:r w:rsidRPr="003C0B63">
        <w:rPr>
          <w:sz w:val="24"/>
          <w:szCs w:val="24"/>
          <w:rtl/>
        </w:rPr>
        <w:t>נוגדת את תקנת הציבור</w:t>
      </w:r>
      <w:r w:rsidRPr="003C0B63">
        <w:rPr>
          <w:rFonts w:hint="cs"/>
          <w:sz w:val="24"/>
          <w:szCs w:val="24"/>
          <w:rtl/>
        </w:rPr>
        <w:t xml:space="preserve"> ועל כן בטלה</w:t>
      </w:r>
      <w:r w:rsidRPr="003C0B63">
        <w:rPr>
          <w:sz w:val="24"/>
          <w:szCs w:val="24"/>
          <w:rtl/>
        </w:rPr>
        <w:t xml:space="preserve">. </w:t>
      </w:r>
      <w:r w:rsidRPr="003C0B63">
        <w:rPr>
          <w:rFonts w:hint="cs"/>
          <w:sz w:val="24"/>
          <w:szCs w:val="24"/>
          <w:rtl/>
        </w:rPr>
        <w:t xml:space="preserve">בית המשפט העליון, בדונו בערעור, דחה את </w:t>
      </w:r>
      <w:r w:rsidRPr="003C0B63">
        <w:rPr>
          <w:sz w:val="24"/>
          <w:szCs w:val="24"/>
          <w:rtl/>
        </w:rPr>
        <w:t xml:space="preserve">הטענה. את הדיון שנערך בפרשה בנוגע לתניית הסילוקין ניתן לחלק </w:t>
      </w:r>
      <w:r w:rsidR="00B14398" w:rsidRPr="003C0B63">
        <w:rPr>
          <w:sz w:val="24"/>
          <w:szCs w:val="24"/>
          <w:rtl/>
        </w:rPr>
        <w:t>ל</w:t>
      </w:r>
      <w:r w:rsidR="00B14398" w:rsidRPr="003C0B63">
        <w:rPr>
          <w:rFonts w:hint="cs"/>
          <w:sz w:val="24"/>
          <w:szCs w:val="24"/>
          <w:rtl/>
        </w:rPr>
        <w:t>ש</w:t>
      </w:r>
      <w:r w:rsidR="00B14398">
        <w:rPr>
          <w:rFonts w:hint="cs"/>
          <w:sz w:val="24"/>
          <w:szCs w:val="24"/>
          <w:rtl/>
        </w:rPr>
        <w:t>נ</w:t>
      </w:r>
      <w:r w:rsidR="00B14398" w:rsidRPr="003C0B63">
        <w:rPr>
          <w:rFonts w:hint="cs"/>
          <w:sz w:val="24"/>
          <w:szCs w:val="24"/>
          <w:rtl/>
        </w:rPr>
        <w:t>יים</w:t>
      </w:r>
      <w:r w:rsidRPr="003C0B63">
        <w:rPr>
          <w:sz w:val="24"/>
          <w:szCs w:val="24"/>
          <w:rtl/>
        </w:rPr>
        <w:t xml:space="preserve">: </w:t>
      </w:r>
      <w:r w:rsidR="005D5BE5" w:rsidRPr="003C0B63">
        <w:rPr>
          <w:rFonts w:hint="cs"/>
          <w:sz w:val="24"/>
          <w:szCs w:val="24"/>
          <w:rtl/>
        </w:rPr>
        <w:t>ראשית</w:t>
      </w:r>
      <w:r w:rsidRPr="003C0B63">
        <w:rPr>
          <w:rFonts w:hint="cs"/>
          <w:sz w:val="24"/>
          <w:szCs w:val="24"/>
          <w:rtl/>
        </w:rPr>
        <w:t xml:space="preserve">, </w:t>
      </w:r>
      <w:r w:rsidR="00581173">
        <w:rPr>
          <w:rFonts w:hint="cs"/>
          <w:sz w:val="24"/>
          <w:szCs w:val="24"/>
          <w:rtl/>
        </w:rPr>
        <w:t xml:space="preserve">דיון בשאלה </w:t>
      </w:r>
      <w:r w:rsidRPr="003C0B63">
        <w:rPr>
          <w:sz w:val="24"/>
          <w:szCs w:val="24"/>
          <w:rtl/>
        </w:rPr>
        <w:t xml:space="preserve">האם </w:t>
      </w:r>
      <w:r w:rsidRPr="003C0B63">
        <w:rPr>
          <w:rFonts w:hint="cs"/>
          <w:sz w:val="24"/>
          <w:szCs w:val="24"/>
          <w:rtl/>
        </w:rPr>
        <w:t>ניתן</w:t>
      </w:r>
      <w:r w:rsidRPr="003C0B63">
        <w:rPr>
          <w:sz w:val="24"/>
          <w:szCs w:val="24"/>
          <w:rtl/>
        </w:rPr>
        <w:t xml:space="preserve"> לבטל הוראה בצוואה, שביצועה נוגד את תקנת הציבור</w:t>
      </w:r>
      <w:r w:rsidRPr="003C0B63">
        <w:rPr>
          <w:rFonts w:hint="cs"/>
          <w:sz w:val="24"/>
          <w:szCs w:val="24"/>
          <w:rtl/>
        </w:rPr>
        <w:t>, חרף העובדה</w:t>
      </w:r>
      <w:r w:rsidRPr="003C0B63">
        <w:rPr>
          <w:sz w:val="24"/>
          <w:szCs w:val="24"/>
          <w:rtl/>
        </w:rPr>
        <w:t xml:space="preserve"> שסעיף 34 לחוק הירושה אינו מתיר לעשות כן במפורש?</w:t>
      </w:r>
      <w:r w:rsidRPr="003C0B63">
        <w:rPr>
          <w:rFonts w:hint="cs"/>
          <w:sz w:val="24"/>
          <w:szCs w:val="24"/>
          <w:rtl/>
        </w:rPr>
        <w:t xml:space="preserve"> </w:t>
      </w:r>
      <w:r w:rsidR="005D5BE5" w:rsidRPr="003C0B63">
        <w:rPr>
          <w:rFonts w:hint="cs"/>
          <w:sz w:val="24"/>
          <w:szCs w:val="24"/>
          <w:rtl/>
        </w:rPr>
        <w:t>שנית</w:t>
      </w:r>
      <w:r w:rsidRPr="003C0B63">
        <w:rPr>
          <w:rFonts w:hint="cs"/>
          <w:sz w:val="24"/>
          <w:szCs w:val="24"/>
          <w:rtl/>
        </w:rPr>
        <w:t xml:space="preserve">, </w:t>
      </w:r>
      <w:r w:rsidRPr="003C0B63">
        <w:rPr>
          <w:sz w:val="24"/>
          <w:szCs w:val="24"/>
          <w:rtl/>
        </w:rPr>
        <w:t>אם</w:t>
      </w:r>
      <w:r w:rsidRPr="003C0B63">
        <w:rPr>
          <w:rFonts w:hint="cs"/>
          <w:sz w:val="24"/>
          <w:szCs w:val="24"/>
          <w:rtl/>
        </w:rPr>
        <w:t xml:space="preserve"> אכן</w:t>
      </w:r>
      <w:r w:rsidRPr="003C0B63">
        <w:rPr>
          <w:sz w:val="24"/>
          <w:szCs w:val="24"/>
          <w:rtl/>
        </w:rPr>
        <w:t xml:space="preserve"> ניתן לבטל הוראה בצוואה שביצועה נוגד את תקנת הציבור, </w:t>
      </w:r>
      <w:r w:rsidR="00581173">
        <w:rPr>
          <w:rFonts w:hint="cs"/>
          <w:sz w:val="24"/>
          <w:szCs w:val="24"/>
          <w:rtl/>
        </w:rPr>
        <w:t xml:space="preserve">מתעוררת השאלה השנייה, </w:t>
      </w:r>
      <w:r w:rsidRPr="003C0B63">
        <w:rPr>
          <w:sz w:val="24"/>
          <w:szCs w:val="24"/>
          <w:rtl/>
        </w:rPr>
        <w:t>האם תניית סילוקין החוסמת דרכו של יורש לבית</w:t>
      </w:r>
      <w:r w:rsidR="00B14398">
        <w:rPr>
          <w:rFonts w:hint="cs"/>
          <w:sz w:val="24"/>
          <w:szCs w:val="24"/>
          <w:rtl/>
        </w:rPr>
        <w:t xml:space="preserve"> </w:t>
      </w:r>
      <w:r w:rsidRPr="003C0B63">
        <w:rPr>
          <w:sz w:val="24"/>
          <w:szCs w:val="24"/>
          <w:rtl/>
        </w:rPr>
        <w:t xml:space="preserve">המשפט </w:t>
      </w:r>
      <w:r w:rsidR="00581173">
        <w:rPr>
          <w:rFonts w:hint="cs"/>
          <w:sz w:val="24"/>
          <w:szCs w:val="24"/>
          <w:rtl/>
        </w:rPr>
        <w:t xml:space="preserve">בטלה בשל היותה </w:t>
      </w:r>
      <w:r w:rsidRPr="003C0B63">
        <w:rPr>
          <w:sz w:val="24"/>
          <w:szCs w:val="24"/>
          <w:rtl/>
        </w:rPr>
        <w:t>נוגדת את תקנת הציבור</w:t>
      </w:r>
      <w:r w:rsidR="00B14398">
        <w:rPr>
          <w:rFonts w:hint="cs"/>
          <w:sz w:val="24"/>
          <w:szCs w:val="24"/>
          <w:rtl/>
        </w:rPr>
        <w:t>?</w:t>
      </w:r>
      <w:r w:rsidRPr="003C0B63">
        <w:rPr>
          <w:rFonts w:hint="cs"/>
          <w:sz w:val="24"/>
          <w:szCs w:val="24"/>
          <w:rtl/>
        </w:rPr>
        <w:t xml:space="preserve"> </w:t>
      </w:r>
    </w:p>
    <w:p w14:paraId="7E190F13" w14:textId="77777777" w:rsidR="009923F0" w:rsidRPr="003C0B63" w:rsidRDefault="009923F0" w:rsidP="009923F0">
      <w:pPr>
        <w:spacing w:line="360" w:lineRule="auto"/>
        <w:jc w:val="both"/>
        <w:rPr>
          <w:sz w:val="24"/>
          <w:szCs w:val="24"/>
          <w:rtl/>
        </w:rPr>
      </w:pPr>
    </w:p>
    <w:p w14:paraId="2264387A" w14:textId="6CD1A569" w:rsidR="00CB78EA" w:rsidRDefault="00CE7BBB" w:rsidP="00690FB8">
      <w:pPr>
        <w:spacing w:line="360" w:lineRule="auto"/>
        <w:jc w:val="both"/>
        <w:rPr>
          <w:sz w:val="24"/>
          <w:szCs w:val="24"/>
          <w:rtl/>
        </w:rPr>
      </w:pPr>
      <w:r>
        <w:rPr>
          <w:rFonts w:hint="cs"/>
          <w:sz w:val="24"/>
          <w:szCs w:val="24"/>
          <w:rtl/>
        </w:rPr>
        <w:t xml:space="preserve">בקשר לשאלה הראשונה, </w:t>
      </w:r>
      <w:r w:rsidR="009923F0" w:rsidRPr="003C0B63">
        <w:rPr>
          <w:rFonts w:hint="cs"/>
          <w:sz w:val="24"/>
          <w:szCs w:val="24"/>
          <w:rtl/>
        </w:rPr>
        <w:t>אם ניתן לבטל הוראה בצוואה בשל פגיע</w:t>
      </w:r>
      <w:r w:rsidR="00581173">
        <w:rPr>
          <w:rFonts w:hint="cs"/>
          <w:sz w:val="24"/>
          <w:szCs w:val="24"/>
          <w:rtl/>
        </w:rPr>
        <w:t>ת</w:t>
      </w:r>
      <w:r w:rsidR="009923F0" w:rsidRPr="003C0B63">
        <w:rPr>
          <w:rFonts w:hint="cs"/>
          <w:sz w:val="24"/>
          <w:szCs w:val="24"/>
          <w:rtl/>
        </w:rPr>
        <w:t>ה בתקנת הציבור</w:t>
      </w:r>
      <w:r w:rsidR="00E52B91">
        <w:rPr>
          <w:rFonts w:hint="cs"/>
          <w:sz w:val="24"/>
          <w:szCs w:val="24"/>
          <w:rtl/>
        </w:rPr>
        <w:t>,</w:t>
      </w:r>
      <w:r w:rsidR="009923F0" w:rsidRPr="003C0B63">
        <w:rPr>
          <w:rFonts w:hint="cs"/>
          <w:sz w:val="24"/>
          <w:szCs w:val="24"/>
          <w:rtl/>
        </w:rPr>
        <w:t xml:space="preserve"> </w:t>
      </w:r>
      <w:r>
        <w:rPr>
          <w:rFonts w:hint="cs"/>
          <w:sz w:val="24"/>
          <w:szCs w:val="24"/>
          <w:rtl/>
        </w:rPr>
        <w:t xml:space="preserve">קבע </w:t>
      </w:r>
      <w:r w:rsidR="009923F0" w:rsidRPr="003C0B63">
        <w:rPr>
          <w:sz w:val="24"/>
          <w:szCs w:val="24"/>
          <w:rtl/>
        </w:rPr>
        <w:t xml:space="preserve">השופט ברק, </w:t>
      </w:r>
      <w:r>
        <w:rPr>
          <w:rFonts w:hint="cs"/>
          <w:sz w:val="24"/>
          <w:szCs w:val="24"/>
          <w:rtl/>
        </w:rPr>
        <w:t>ב</w:t>
      </w:r>
      <w:r w:rsidR="009923F0" w:rsidRPr="003C0B63">
        <w:rPr>
          <w:rFonts w:hint="cs"/>
          <w:sz w:val="24"/>
          <w:szCs w:val="24"/>
          <w:rtl/>
        </w:rPr>
        <w:t xml:space="preserve">דעת הרוב, </w:t>
      </w:r>
      <w:r w:rsidR="009923F0" w:rsidRPr="003C0B63">
        <w:rPr>
          <w:sz w:val="24"/>
          <w:szCs w:val="24"/>
          <w:rtl/>
        </w:rPr>
        <w:t>כי ניתן להחיל את ע</w:t>
      </w:r>
      <w:r w:rsidR="00E52B91">
        <w:rPr>
          <w:rFonts w:hint="cs"/>
          <w:sz w:val="24"/>
          <w:szCs w:val="24"/>
          <w:rtl/>
        </w:rPr>
        <w:t>י</w:t>
      </w:r>
      <w:r w:rsidR="009923F0" w:rsidRPr="003C0B63">
        <w:rPr>
          <w:sz w:val="24"/>
          <w:szCs w:val="24"/>
          <w:rtl/>
        </w:rPr>
        <w:t>קרון תקנת הציבור על צוואה מכוח צירופם של סעיף 30</w:t>
      </w:r>
      <w:r w:rsidR="009923F0" w:rsidRPr="003C0B63">
        <w:rPr>
          <w:rFonts w:hint="cs"/>
          <w:sz w:val="24"/>
          <w:szCs w:val="24"/>
          <w:rtl/>
        </w:rPr>
        <w:t xml:space="preserve"> </w:t>
      </w:r>
      <w:r w:rsidR="009923F0" w:rsidRPr="003C0B63">
        <w:rPr>
          <w:sz w:val="24"/>
          <w:szCs w:val="24"/>
          <w:rtl/>
        </w:rPr>
        <w:t>לחוק החוזים עם סעיף 61(ב) שבו, הקובע שניתן להחיל את עקרונות דיני החוזים על "פעולות משפטיות שאינן בבחינת חוזה ועל חיובים שאינם נובעים מחוזה".</w:t>
      </w:r>
      <w:r>
        <w:rPr>
          <w:rStyle w:val="a3"/>
          <w:sz w:val="24"/>
          <w:szCs w:val="24"/>
          <w:rtl/>
        </w:rPr>
        <w:footnoteReference w:id="62"/>
      </w:r>
      <w:r w:rsidR="009923F0" w:rsidRPr="003C0B63">
        <w:rPr>
          <w:sz w:val="24"/>
          <w:szCs w:val="24"/>
          <w:rtl/>
        </w:rPr>
        <w:t xml:space="preserve"> כמו כן, חל עיקרון תקנת הציבור על צוואה מכוח ע</w:t>
      </w:r>
      <w:r w:rsidR="00E52B91">
        <w:rPr>
          <w:rFonts w:hint="cs"/>
          <w:sz w:val="24"/>
          <w:szCs w:val="24"/>
          <w:rtl/>
        </w:rPr>
        <w:t>י</w:t>
      </w:r>
      <w:r w:rsidR="009923F0" w:rsidRPr="003C0B63">
        <w:rPr>
          <w:sz w:val="24"/>
          <w:szCs w:val="24"/>
          <w:rtl/>
        </w:rPr>
        <w:t>קרון תקנת הציבור הכללי, המגביל את האוטונומיה של הפרט</w:t>
      </w:r>
      <w:r w:rsidR="009923F0" w:rsidRPr="003C0B63">
        <w:rPr>
          <w:rFonts w:hint="cs"/>
          <w:sz w:val="24"/>
          <w:szCs w:val="24"/>
          <w:rtl/>
        </w:rPr>
        <w:t>. את עמדתו נימק השופט ברק כך:</w:t>
      </w:r>
      <w:r>
        <w:rPr>
          <w:rStyle w:val="a3"/>
          <w:sz w:val="24"/>
          <w:szCs w:val="24"/>
          <w:rtl/>
        </w:rPr>
        <w:footnoteReference w:id="63"/>
      </w:r>
      <w:r w:rsidR="009923F0" w:rsidRPr="003C0B63">
        <w:rPr>
          <w:rFonts w:hint="cs"/>
          <w:sz w:val="24"/>
          <w:szCs w:val="24"/>
          <w:rtl/>
        </w:rPr>
        <w:t xml:space="preserve"> </w:t>
      </w:r>
      <w:r w:rsidR="009923F0" w:rsidRPr="003C0B63">
        <w:rPr>
          <w:sz w:val="24"/>
          <w:szCs w:val="24"/>
          <w:rtl/>
        </w:rPr>
        <w:t xml:space="preserve">"אכן, עקרון כללי זה של תקנת הציבור, מן הראוי שיחול גם על צוואה. צוואה, כמו חוזה, היא ביטוי לאוטונומיה של הפרט וכמו חוזה, צריכה להיות כפופה לעקרון היסוד של תקנת הציבור, המגביל את האוטונומיה של הפרט </w:t>
      </w:r>
      <w:r w:rsidR="009923F0" w:rsidRPr="003C0B63">
        <w:rPr>
          <w:rFonts w:hint="cs"/>
          <w:sz w:val="24"/>
          <w:szCs w:val="24"/>
          <w:rtl/>
        </w:rPr>
        <w:t>[</w:t>
      </w:r>
      <w:r w:rsidR="009923F0" w:rsidRPr="003C0B63">
        <w:rPr>
          <w:sz w:val="24"/>
          <w:szCs w:val="24"/>
          <w:rtl/>
        </w:rPr>
        <w:t>...</w:t>
      </w:r>
      <w:r w:rsidR="009923F0" w:rsidRPr="003C0B63">
        <w:rPr>
          <w:rFonts w:hint="cs"/>
          <w:sz w:val="24"/>
          <w:szCs w:val="24"/>
          <w:rtl/>
        </w:rPr>
        <w:t>]</w:t>
      </w:r>
      <w:r w:rsidR="009923F0" w:rsidRPr="003C0B63">
        <w:rPr>
          <w:sz w:val="24"/>
          <w:szCs w:val="24"/>
          <w:rtl/>
        </w:rPr>
        <w:t xml:space="preserve"> אכן, הצורך לשמור על תקנת הציבור קיים במלא היקפו, ואין כל יסוד שלא להחילו בתחום דיני הירושה. הן במשפט האנגלי, הן במשפט האמריקאי, הן במשפט הגרמני, והן במשפט הצרפתי - שיטות משפט שבדקתי אותן לצורך ענייננו - מקובל הוא, כי ניתן לפסול תנייה בצוואה שאינה נוגדת הוראות חוק אך הנוגדת את תקנת הציבור </w:t>
      </w:r>
      <w:r w:rsidR="009923F0" w:rsidRPr="003C0B63">
        <w:rPr>
          <w:rFonts w:hint="cs"/>
          <w:sz w:val="24"/>
          <w:szCs w:val="24"/>
          <w:rtl/>
        </w:rPr>
        <w:t>[</w:t>
      </w:r>
      <w:r w:rsidR="009923F0" w:rsidRPr="003C0B63">
        <w:rPr>
          <w:sz w:val="24"/>
          <w:szCs w:val="24"/>
          <w:rtl/>
        </w:rPr>
        <w:t>...</w:t>
      </w:r>
      <w:r w:rsidR="009923F0" w:rsidRPr="003C0B63">
        <w:rPr>
          <w:rFonts w:hint="cs"/>
          <w:sz w:val="24"/>
          <w:szCs w:val="24"/>
          <w:rtl/>
        </w:rPr>
        <w:t>]</w:t>
      </w:r>
      <w:r w:rsidR="009923F0" w:rsidRPr="003C0B63">
        <w:rPr>
          <w:sz w:val="24"/>
          <w:szCs w:val="24"/>
          <w:rtl/>
        </w:rPr>
        <w:t xml:space="preserve"> סיכומו של דבר: דעתי היא, כי הוראה בצוואה, שביצוע</w:t>
      </w:r>
      <w:r w:rsidR="00E52B91">
        <w:rPr>
          <w:rFonts w:hint="cs"/>
          <w:sz w:val="24"/>
          <w:szCs w:val="24"/>
          <w:rtl/>
        </w:rPr>
        <w:t>ה</w:t>
      </w:r>
      <w:r w:rsidR="009923F0" w:rsidRPr="003C0B63">
        <w:rPr>
          <w:sz w:val="24"/>
          <w:szCs w:val="24"/>
          <w:rtl/>
        </w:rPr>
        <w:t xml:space="preserve"> נוגד את תקנת הציבור, בטלה היא".</w:t>
      </w:r>
    </w:p>
    <w:p w14:paraId="6A0524E4" w14:textId="51423897" w:rsidR="009923F0" w:rsidRPr="003C0B63" w:rsidRDefault="00CE7BBB" w:rsidP="00756E5E">
      <w:pPr>
        <w:spacing w:line="360" w:lineRule="auto"/>
        <w:ind w:firstLine="720"/>
        <w:jc w:val="both"/>
        <w:rPr>
          <w:sz w:val="24"/>
          <w:szCs w:val="24"/>
          <w:rtl/>
        </w:rPr>
      </w:pPr>
      <w:r w:rsidRPr="003C0B63">
        <w:rPr>
          <w:sz w:val="24"/>
          <w:szCs w:val="24"/>
          <w:rtl/>
        </w:rPr>
        <w:t xml:space="preserve">השופט מלץ, שהחזיק בדעת המיעוט, סבר </w:t>
      </w:r>
      <w:r w:rsidRPr="003C0B63">
        <w:rPr>
          <w:rFonts w:hint="cs"/>
          <w:sz w:val="24"/>
          <w:szCs w:val="24"/>
          <w:rtl/>
        </w:rPr>
        <w:t>כי</w:t>
      </w:r>
      <w:r w:rsidRPr="003C0B63">
        <w:rPr>
          <w:sz w:val="24"/>
          <w:szCs w:val="24"/>
          <w:rtl/>
        </w:rPr>
        <w:t xml:space="preserve"> הוראה בצוואה שיש בה פגיעה בתקנת הציבור אינה נמנית עם הוראות שחוק הירושה מבטלן, שכן על פי חוק זה ניתן לבטל רק הוראות שביצוען בלתי חוקי, בלתי מוסרי או בלתי אפשרי. </w:t>
      </w:r>
      <w:r w:rsidRPr="003C0B63">
        <w:rPr>
          <w:rFonts w:hint="cs"/>
          <w:sz w:val="24"/>
          <w:szCs w:val="24"/>
          <w:rtl/>
        </w:rPr>
        <w:t xml:space="preserve">הוראות חוק הירושה שונות בעניין זה </w:t>
      </w:r>
      <w:r w:rsidRPr="003C0B63">
        <w:rPr>
          <w:sz w:val="24"/>
          <w:szCs w:val="24"/>
          <w:rtl/>
        </w:rPr>
        <w:t>מדיני החוזים</w:t>
      </w:r>
      <w:r w:rsidR="00E52B91">
        <w:rPr>
          <w:rFonts w:hint="cs"/>
          <w:sz w:val="24"/>
          <w:szCs w:val="24"/>
          <w:rtl/>
        </w:rPr>
        <w:t>,</w:t>
      </w:r>
      <w:r w:rsidRPr="003C0B63">
        <w:rPr>
          <w:sz w:val="24"/>
          <w:szCs w:val="24"/>
          <w:rtl/>
        </w:rPr>
        <w:t xml:space="preserve"> שם נקבע במפורש שחוזה הנוגד את תקנת הציבור בטל. על</w:t>
      </w:r>
      <w:r w:rsidR="00E52B91">
        <w:rPr>
          <w:rFonts w:hint="cs"/>
          <w:sz w:val="24"/>
          <w:szCs w:val="24"/>
          <w:rtl/>
        </w:rPr>
        <w:t xml:space="preserve"> </w:t>
      </w:r>
      <w:r w:rsidRPr="003C0B63">
        <w:rPr>
          <w:sz w:val="24"/>
          <w:szCs w:val="24"/>
          <w:rtl/>
        </w:rPr>
        <w:t xml:space="preserve">כן, ניתן לבטל הוראה </w:t>
      </w:r>
      <w:r w:rsidRPr="003C0B63">
        <w:rPr>
          <w:rFonts w:hint="cs"/>
          <w:sz w:val="24"/>
          <w:szCs w:val="24"/>
          <w:rtl/>
        </w:rPr>
        <w:t xml:space="preserve">בצוואה </w:t>
      </w:r>
      <w:r w:rsidRPr="003C0B63">
        <w:rPr>
          <w:sz w:val="24"/>
          <w:szCs w:val="24"/>
          <w:rtl/>
        </w:rPr>
        <w:t xml:space="preserve">רק אם הפגיעה </w:t>
      </w:r>
      <w:r w:rsidRPr="003C0B63">
        <w:rPr>
          <w:rFonts w:hint="cs"/>
          <w:sz w:val="24"/>
          <w:szCs w:val="24"/>
          <w:rtl/>
        </w:rPr>
        <w:t>שהיא גורמת ל</w:t>
      </w:r>
      <w:r w:rsidRPr="003C0B63">
        <w:rPr>
          <w:sz w:val="24"/>
          <w:szCs w:val="24"/>
          <w:rtl/>
        </w:rPr>
        <w:t>תקנת הציבור הי</w:t>
      </w:r>
      <w:r w:rsidRPr="003C0B63">
        <w:rPr>
          <w:rFonts w:hint="cs"/>
          <w:sz w:val="24"/>
          <w:szCs w:val="24"/>
          <w:rtl/>
        </w:rPr>
        <w:t>א</w:t>
      </w:r>
      <w:r w:rsidRPr="003C0B63">
        <w:rPr>
          <w:sz w:val="24"/>
          <w:szCs w:val="24"/>
          <w:rtl/>
        </w:rPr>
        <w:t xml:space="preserve"> כה חמורה עד שהיא מג</w:t>
      </w:r>
      <w:r w:rsidRPr="003C0B63">
        <w:rPr>
          <w:rFonts w:hint="cs"/>
          <w:sz w:val="24"/>
          <w:szCs w:val="24"/>
          <w:rtl/>
        </w:rPr>
        <w:t>יעה</w:t>
      </w:r>
      <w:r w:rsidRPr="003C0B63">
        <w:rPr>
          <w:sz w:val="24"/>
          <w:szCs w:val="24"/>
          <w:rtl/>
        </w:rPr>
        <w:t xml:space="preserve"> </w:t>
      </w:r>
      <w:r w:rsidRPr="003C0B63">
        <w:rPr>
          <w:rFonts w:hint="cs"/>
          <w:sz w:val="24"/>
          <w:szCs w:val="24"/>
          <w:rtl/>
        </w:rPr>
        <w:t>ל</w:t>
      </w:r>
      <w:r w:rsidRPr="003C0B63">
        <w:rPr>
          <w:sz w:val="24"/>
          <w:szCs w:val="24"/>
          <w:rtl/>
        </w:rPr>
        <w:t>כדי אי-חוקיות או אי-מוסריות.</w:t>
      </w:r>
      <w:r>
        <w:rPr>
          <w:rStyle w:val="a3"/>
          <w:sz w:val="24"/>
          <w:szCs w:val="24"/>
          <w:rtl/>
        </w:rPr>
        <w:footnoteReference w:id="64"/>
      </w:r>
      <w:r w:rsidRPr="003C0B63">
        <w:rPr>
          <w:sz w:val="24"/>
          <w:szCs w:val="24"/>
          <w:rtl/>
        </w:rPr>
        <w:t xml:space="preserve"> </w:t>
      </w:r>
    </w:p>
    <w:p w14:paraId="5F6C9BE1" w14:textId="77777777" w:rsidR="009923F0" w:rsidRPr="003C0B63" w:rsidRDefault="009923F0" w:rsidP="009923F0">
      <w:pPr>
        <w:spacing w:line="360" w:lineRule="auto"/>
        <w:jc w:val="both"/>
        <w:rPr>
          <w:sz w:val="24"/>
          <w:szCs w:val="24"/>
          <w:rtl/>
        </w:rPr>
      </w:pPr>
    </w:p>
    <w:p w14:paraId="64A50152" w14:textId="4DCC6B10" w:rsidR="009923F0" w:rsidRPr="003C0B63" w:rsidRDefault="00CE7BBB" w:rsidP="00B42092">
      <w:pPr>
        <w:spacing w:line="360" w:lineRule="auto"/>
        <w:jc w:val="both"/>
        <w:rPr>
          <w:sz w:val="24"/>
          <w:szCs w:val="24"/>
          <w:rtl/>
        </w:rPr>
      </w:pPr>
      <w:r>
        <w:rPr>
          <w:rFonts w:hint="cs"/>
          <w:sz w:val="24"/>
          <w:szCs w:val="24"/>
          <w:rtl/>
        </w:rPr>
        <w:t xml:space="preserve">בקשר לשאלה השנייה, </w:t>
      </w:r>
      <w:r w:rsidRPr="003C0B63">
        <w:rPr>
          <w:rFonts w:hint="cs"/>
          <w:sz w:val="24"/>
          <w:szCs w:val="24"/>
          <w:rtl/>
        </w:rPr>
        <w:t xml:space="preserve">אם </w:t>
      </w:r>
      <w:r>
        <w:rPr>
          <w:rFonts w:hint="cs"/>
          <w:sz w:val="24"/>
          <w:szCs w:val="24"/>
          <w:rtl/>
        </w:rPr>
        <w:t xml:space="preserve">ניתן לבטל </w:t>
      </w:r>
      <w:r w:rsidRPr="003C0B63">
        <w:rPr>
          <w:rFonts w:hint="cs"/>
          <w:sz w:val="24"/>
          <w:szCs w:val="24"/>
          <w:rtl/>
        </w:rPr>
        <w:t xml:space="preserve">תניית סילוקין </w:t>
      </w:r>
      <w:r>
        <w:rPr>
          <w:rFonts w:hint="cs"/>
          <w:sz w:val="24"/>
          <w:szCs w:val="24"/>
          <w:rtl/>
        </w:rPr>
        <w:t>ש</w:t>
      </w:r>
      <w:r w:rsidRPr="003C0B63">
        <w:rPr>
          <w:rFonts w:hint="cs"/>
          <w:sz w:val="24"/>
          <w:szCs w:val="24"/>
          <w:rtl/>
        </w:rPr>
        <w:t>נוגדת את תקנת הציבור</w:t>
      </w:r>
      <w:r w:rsidR="004D0042">
        <w:rPr>
          <w:rFonts w:hint="cs"/>
          <w:sz w:val="24"/>
          <w:szCs w:val="24"/>
          <w:rtl/>
        </w:rPr>
        <w:t>,</w:t>
      </w:r>
      <w:r w:rsidRPr="003C0B63">
        <w:rPr>
          <w:rFonts w:hint="cs"/>
          <w:sz w:val="24"/>
          <w:szCs w:val="24"/>
          <w:rtl/>
        </w:rPr>
        <w:t xml:space="preserve"> מצא השופט ברק לפרט את רשימת השיקולים השונים שיש לקחת בחשבון באיזון</w:t>
      </w:r>
      <w:r w:rsidRPr="003C0B63">
        <w:rPr>
          <w:sz w:val="24"/>
          <w:szCs w:val="24"/>
          <w:rtl/>
        </w:rPr>
        <w:t xml:space="preserve"> בין "רצון המצווה" ל</w:t>
      </w:r>
      <w:r w:rsidRPr="003C0B63">
        <w:rPr>
          <w:rFonts w:hint="cs"/>
          <w:sz w:val="24"/>
          <w:szCs w:val="24"/>
          <w:rtl/>
        </w:rPr>
        <w:t xml:space="preserve">בין </w:t>
      </w:r>
      <w:r w:rsidRPr="003C0B63">
        <w:rPr>
          <w:sz w:val="24"/>
          <w:szCs w:val="24"/>
          <w:rtl/>
        </w:rPr>
        <w:t>זכות הגישה לערכאות של היורש</w:t>
      </w:r>
      <w:r w:rsidRPr="003C0B63">
        <w:rPr>
          <w:rFonts w:hint="cs"/>
          <w:sz w:val="24"/>
          <w:szCs w:val="24"/>
          <w:rtl/>
        </w:rPr>
        <w:t xml:space="preserve"> במסגרת המבחן של תקנת הציבור</w:t>
      </w:r>
      <w:r w:rsidRPr="003C0B63">
        <w:rPr>
          <w:sz w:val="24"/>
          <w:szCs w:val="24"/>
          <w:rtl/>
        </w:rPr>
        <w:t>. מחד</w:t>
      </w:r>
      <w:r w:rsidR="00E52B91">
        <w:rPr>
          <w:rFonts w:hint="cs"/>
          <w:sz w:val="24"/>
          <w:szCs w:val="24"/>
          <w:rtl/>
        </w:rPr>
        <w:t xml:space="preserve"> </w:t>
      </w:r>
      <w:r w:rsidRPr="003C0B63">
        <w:rPr>
          <w:sz w:val="24"/>
          <w:szCs w:val="24"/>
          <w:rtl/>
        </w:rPr>
        <w:t xml:space="preserve">גיסא, </w:t>
      </w:r>
      <w:r w:rsidR="00B42092">
        <w:rPr>
          <w:rFonts w:hint="cs"/>
          <w:sz w:val="24"/>
          <w:szCs w:val="24"/>
          <w:rtl/>
        </w:rPr>
        <w:t xml:space="preserve">פרט השופט ברק את </w:t>
      </w:r>
      <w:r w:rsidRPr="003C0B63">
        <w:rPr>
          <w:rFonts w:hint="cs"/>
          <w:sz w:val="24"/>
          <w:szCs w:val="24"/>
          <w:rtl/>
        </w:rPr>
        <w:t xml:space="preserve">הטעמים </w:t>
      </w:r>
      <w:r w:rsidRPr="003C0B63">
        <w:rPr>
          <w:sz w:val="24"/>
          <w:szCs w:val="24"/>
          <w:rtl/>
        </w:rPr>
        <w:t xml:space="preserve">כבדי </w:t>
      </w:r>
      <w:r w:rsidRPr="003C0B63">
        <w:rPr>
          <w:rFonts w:hint="cs"/>
          <w:sz w:val="24"/>
          <w:szCs w:val="24"/>
          <w:rtl/>
        </w:rPr>
        <w:t>ה</w:t>
      </w:r>
      <w:r w:rsidRPr="003C0B63">
        <w:rPr>
          <w:sz w:val="24"/>
          <w:szCs w:val="24"/>
          <w:rtl/>
        </w:rPr>
        <w:t xml:space="preserve">משקל </w:t>
      </w:r>
      <w:r w:rsidRPr="003C0B63">
        <w:rPr>
          <w:rFonts w:hint="cs"/>
          <w:sz w:val="24"/>
          <w:szCs w:val="24"/>
          <w:rtl/>
        </w:rPr>
        <w:t>התומכים בהכרה</w:t>
      </w:r>
      <w:r w:rsidRPr="003C0B63">
        <w:rPr>
          <w:sz w:val="24"/>
          <w:szCs w:val="24"/>
          <w:rtl/>
        </w:rPr>
        <w:t xml:space="preserve"> בתניית הסילוקין של המצווה: </w:t>
      </w:r>
    </w:p>
    <w:p w14:paraId="293086EC" w14:textId="77777777" w:rsidR="009923F0" w:rsidRPr="003C0B63" w:rsidRDefault="00CE7BBB" w:rsidP="0089308C">
      <w:pPr>
        <w:pStyle w:val="ad"/>
        <w:numPr>
          <w:ilvl w:val="0"/>
          <w:numId w:val="3"/>
        </w:numPr>
        <w:spacing w:line="360" w:lineRule="auto"/>
        <w:jc w:val="both"/>
        <w:rPr>
          <w:sz w:val="24"/>
          <w:szCs w:val="24"/>
          <w:rtl/>
        </w:rPr>
      </w:pPr>
      <w:r>
        <w:rPr>
          <w:rFonts w:hint="cs"/>
          <w:sz w:val="24"/>
          <w:szCs w:val="24"/>
          <w:rtl/>
        </w:rPr>
        <w:t xml:space="preserve">כיבוד רצון המצווה - </w:t>
      </w:r>
      <w:r w:rsidR="00B42092">
        <w:rPr>
          <w:rFonts w:hint="cs"/>
          <w:sz w:val="24"/>
          <w:szCs w:val="24"/>
          <w:rtl/>
        </w:rPr>
        <w:t xml:space="preserve">תניית </w:t>
      </w:r>
      <w:r w:rsidR="00E52B91">
        <w:rPr>
          <w:rFonts w:hint="cs"/>
          <w:sz w:val="24"/>
          <w:szCs w:val="24"/>
          <w:rtl/>
        </w:rPr>
        <w:t>ה</w:t>
      </w:r>
      <w:r w:rsidR="00B42092">
        <w:rPr>
          <w:rFonts w:hint="cs"/>
          <w:sz w:val="24"/>
          <w:szCs w:val="24"/>
          <w:rtl/>
        </w:rPr>
        <w:t xml:space="preserve">סילוקין </w:t>
      </w:r>
      <w:r>
        <w:rPr>
          <w:rFonts w:hint="cs"/>
          <w:sz w:val="24"/>
          <w:szCs w:val="24"/>
          <w:rtl/>
        </w:rPr>
        <w:t>מסייעת למוריש להגשים חלוקת רכוש בהתאם לרצונו</w:t>
      </w:r>
      <w:r w:rsidRPr="003C0B63">
        <w:rPr>
          <w:sz w:val="24"/>
          <w:szCs w:val="24"/>
          <w:rtl/>
        </w:rPr>
        <w:t>;</w:t>
      </w:r>
    </w:p>
    <w:p w14:paraId="45B4E74C" w14:textId="77777777" w:rsidR="009923F0" w:rsidRPr="003C0B63" w:rsidRDefault="00CE7BBB" w:rsidP="00B42092">
      <w:pPr>
        <w:pStyle w:val="ad"/>
        <w:numPr>
          <w:ilvl w:val="0"/>
          <w:numId w:val="3"/>
        </w:numPr>
        <w:spacing w:line="360" w:lineRule="auto"/>
        <w:jc w:val="both"/>
        <w:rPr>
          <w:sz w:val="24"/>
          <w:szCs w:val="24"/>
          <w:rtl/>
        </w:rPr>
      </w:pPr>
      <w:r w:rsidRPr="003C0B63">
        <w:rPr>
          <w:sz w:val="24"/>
          <w:szCs w:val="24"/>
          <w:rtl/>
        </w:rPr>
        <w:t xml:space="preserve">תניית הסילוקין </w:t>
      </w:r>
      <w:r w:rsidR="00B42092">
        <w:rPr>
          <w:rFonts w:hint="cs"/>
          <w:sz w:val="24"/>
          <w:szCs w:val="24"/>
          <w:rtl/>
        </w:rPr>
        <w:t xml:space="preserve">מגוננת </w:t>
      </w:r>
      <w:r w:rsidRPr="003C0B63">
        <w:rPr>
          <w:sz w:val="24"/>
          <w:szCs w:val="24"/>
          <w:rtl/>
        </w:rPr>
        <w:t xml:space="preserve">על אינטרסים היקרים </w:t>
      </w:r>
      <w:r w:rsidR="00B42092">
        <w:rPr>
          <w:rFonts w:hint="cs"/>
          <w:sz w:val="24"/>
          <w:szCs w:val="24"/>
          <w:rtl/>
        </w:rPr>
        <w:t>לנפטר</w:t>
      </w:r>
      <w:r w:rsidRPr="003C0B63">
        <w:rPr>
          <w:sz w:val="24"/>
          <w:szCs w:val="24"/>
          <w:rtl/>
        </w:rPr>
        <w:t>, כגון: שלום המשפחה</w:t>
      </w:r>
      <w:r w:rsidRPr="003C0B63">
        <w:rPr>
          <w:rFonts w:hint="cs"/>
          <w:sz w:val="24"/>
          <w:szCs w:val="24"/>
          <w:rtl/>
        </w:rPr>
        <w:t xml:space="preserve"> ו</w:t>
      </w:r>
      <w:r w:rsidRPr="003C0B63">
        <w:rPr>
          <w:sz w:val="24"/>
          <w:szCs w:val="24"/>
          <w:rtl/>
        </w:rPr>
        <w:t>שמו הטוב;</w:t>
      </w:r>
    </w:p>
    <w:p w14:paraId="481A2719" w14:textId="43218C8E" w:rsidR="009923F0" w:rsidRPr="003C0B63" w:rsidRDefault="00CE7BBB" w:rsidP="004D0042">
      <w:pPr>
        <w:pStyle w:val="ad"/>
        <w:numPr>
          <w:ilvl w:val="0"/>
          <w:numId w:val="3"/>
        </w:numPr>
        <w:spacing w:line="360" w:lineRule="auto"/>
        <w:jc w:val="both"/>
        <w:rPr>
          <w:sz w:val="24"/>
          <w:szCs w:val="24"/>
        </w:rPr>
      </w:pPr>
      <w:r>
        <w:rPr>
          <w:rFonts w:hint="cs"/>
          <w:sz w:val="24"/>
          <w:szCs w:val="24"/>
          <w:rtl/>
        </w:rPr>
        <w:t xml:space="preserve">תניית הסילוקין מעודדת </w:t>
      </w:r>
      <w:r w:rsidRPr="003C0B63">
        <w:rPr>
          <w:sz w:val="24"/>
          <w:szCs w:val="24"/>
          <w:rtl/>
        </w:rPr>
        <w:t>פשרה בין היורשים</w:t>
      </w:r>
      <w:r>
        <w:rPr>
          <w:rFonts w:hint="cs"/>
          <w:sz w:val="24"/>
          <w:szCs w:val="24"/>
          <w:rtl/>
        </w:rPr>
        <w:t xml:space="preserve"> מחוץ לכותלי בית המשפט</w:t>
      </w:r>
      <w:r w:rsidRPr="003C0B63">
        <w:rPr>
          <w:sz w:val="24"/>
          <w:szCs w:val="24"/>
          <w:rtl/>
        </w:rPr>
        <w:t xml:space="preserve"> </w:t>
      </w:r>
      <w:r w:rsidR="004D0042">
        <w:rPr>
          <w:rFonts w:hint="cs"/>
          <w:sz w:val="24"/>
          <w:szCs w:val="24"/>
          <w:rtl/>
        </w:rPr>
        <w:t xml:space="preserve">- </w:t>
      </w:r>
      <w:r w:rsidRPr="003C0B63">
        <w:rPr>
          <w:rFonts w:hint="cs"/>
          <w:sz w:val="24"/>
          <w:szCs w:val="24"/>
          <w:rtl/>
        </w:rPr>
        <w:t>הסדרת סכסוכים מחוץ לכותלי בית</w:t>
      </w:r>
      <w:r w:rsidR="00E52B91">
        <w:rPr>
          <w:rFonts w:hint="cs"/>
          <w:sz w:val="24"/>
          <w:szCs w:val="24"/>
          <w:rtl/>
        </w:rPr>
        <w:t xml:space="preserve"> </w:t>
      </w:r>
      <w:r w:rsidRPr="003C0B63">
        <w:rPr>
          <w:rFonts w:hint="cs"/>
          <w:sz w:val="24"/>
          <w:szCs w:val="24"/>
          <w:rtl/>
        </w:rPr>
        <w:t>המשפט כאשר הדבר מתאפשר מהווה אינטרס ציבורי</w:t>
      </w:r>
      <w:r w:rsidRPr="003C0B63">
        <w:rPr>
          <w:sz w:val="24"/>
          <w:szCs w:val="24"/>
          <w:rtl/>
        </w:rPr>
        <w:t>;</w:t>
      </w:r>
    </w:p>
    <w:p w14:paraId="2E5AD7C7" w14:textId="469D8CA7" w:rsidR="009923F0" w:rsidRPr="003C0B63" w:rsidRDefault="00CE7BBB" w:rsidP="00E52B91">
      <w:pPr>
        <w:pStyle w:val="ad"/>
        <w:numPr>
          <w:ilvl w:val="0"/>
          <w:numId w:val="3"/>
        </w:numPr>
        <w:spacing w:line="360" w:lineRule="auto"/>
        <w:jc w:val="both"/>
        <w:rPr>
          <w:sz w:val="24"/>
          <w:szCs w:val="24"/>
          <w:rtl/>
        </w:rPr>
      </w:pPr>
      <w:r>
        <w:rPr>
          <w:rFonts w:hint="cs"/>
          <w:sz w:val="24"/>
          <w:szCs w:val="24"/>
          <w:rtl/>
        </w:rPr>
        <w:t xml:space="preserve">פרטיות התא המשפחתי - כאמור, תניית הסילוקין מעודדת את </w:t>
      </w:r>
      <w:r w:rsidRPr="003C0B63">
        <w:rPr>
          <w:sz w:val="24"/>
          <w:szCs w:val="24"/>
          <w:rtl/>
        </w:rPr>
        <w:t xml:space="preserve">היורשים על פי הצוואה - שהם לרוב בני משפחתו הקרובה של הנפטר </w:t>
      </w:r>
      <w:r>
        <w:rPr>
          <w:sz w:val="24"/>
          <w:szCs w:val="24"/>
          <w:rtl/>
        </w:rPr>
        <w:t>–</w:t>
      </w:r>
      <w:r w:rsidRPr="003C0B63">
        <w:rPr>
          <w:sz w:val="24"/>
          <w:szCs w:val="24"/>
          <w:rtl/>
        </w:rPr>
        <w:t xml:space="preserve"> </w:t>
      </w:r>
      <w:r>
        <w:rPr>
          <w:rFonts w:hint="cs"/>
          <w:sz w:val="24"/>
          <w:szCs w:val="24"/>
          <w:rtl/>
        </w:rPr>
        <w:t xml:space="preserve">להסדיר </w:t>
      </w:r>
      <w:r w:rsidRPr="003C0B63">
        <w:rPr>
          <w:sz w:val="24"/>
          <w:szCs w:val="24"/>
          <w:rtl/>
        </w:rPr>
        <w:t>את ענייניהם בהסכמה ובהבנה</w:t>
      </w:r>
      <w:r w:rsidRPr="003C0B63">
        <w:rPr>
          <w:rFonts w:hint="cs"/>
          <w:sz w:val="24"/>
          <w:szCs w:val="24"/>
          <w:rtl/>
        </w:rPr>
        <w:t>.</w:t>
      </w:r>
      <w:r w:rsidRPr="003C0B63">
        <w:rPr>
          <w:sz w:val="24"/>
          <w:szCs w:val="24"/>
          <w:rtl/>
        </w:rPr>
        <w:t xml:space="preserve"> בהיבט זה שומרת</w:t>
      </w:r>
      <w:r w:rsidRPr="003C0B63">
        <w:rPr>
          <w:rFonts w:hint="cs"/>
          <w:sz w:val="24"/>
          <w:szCs w:val="24"/>
          <w:rtl/>
        </w:rPr>
        <w:t xml:space="preserve"> תניית הסילוקין</w:t>
      </w:r>
      <w:r w:rsidRPr="003C0B63">
        <w:rPr>
          <w:sz w:val="24"/>
          <w:szCs w:val="24"/>
          <w:rtl/>
        </w:rPr>
        <w:t xml:space="preserve"> על הפרטיות של התא המשפחתי.</w:t>
      </w:r>
      <w:r>
        <w:rPr>
          <w:rStyle w:val="a3"/>
          <w:sz w:val="24"/>
          <w:szCs w:val="24"/>
          <w:rtl/>
        </w:rPr>
        <w:footnoteReference w:id="65"/>
      </w:r>
      <w:r w:rsidRPr="003C0B63">
        <w:rPr>
          <w:sz w:val="24"/>
          <w:szCs w:val="24"/>
          <w:rtl/>
        </w:rPr>
        <w:t xml:space="preserve"> </w:t>
      </w:r>
    </w:p>
    <w:p w14:paraId="2DB53A33" w14:textId="77777777" w:rsidR="009923F0" w:rsidRPr="003C0B63" w:rsidRDefault="009923F0" w:rsidP="009923F0">
      <w:pPr>
        <w:spacing w:line="360" w:lineRule="auto"/>
        <w:jc w:val="both"/>
        <w:rPr>
          <w:sz w:val="24"/>
          <w:szCs w:val="24"/>
          <w:rtl/>
        </w:rPr>
      </w:pPr>
    </w:p>
    <w:p w14:paraId="1C867518" w14:textId="7777C4D3" w:rsidR="009923F0" w:rsidRPr="003C0B63" w:rsidRDefault="00CE7BBB" w:rsidP="009923F0">
      <w:pPr>
        <w:spacing w:line="360" w:lineRule="auto"/>
        <w:jc w:val="both"/>
        <w:rPr>
          <w:sz w:val="24"/>
          <w:szCs w:val="24"/>
          <w:rtl/>
        </w:rPr>
      </w:pPr>
      <w:r w:rsidRPr="003C0B63">
        <w:rPr>
          <w:sz w:val="24"/>
          <w:szCs w:val="24"/>
          <w:rtl/>
        </w:rPr>
        <w:t>מאידך</w:t>
      </w:r>
      <w:r w:rsidR="00E52B91">
        <w:rPr>
          <w:rFonts w:hint="cs"/>
          <w:sz w:val="24"/>
          <w:szCs w:val="24"/>
          <w:rtl/>
        </w:rPr>
        <w:t xml:space="preserve"> </w:t>
      </w:r>
      <w:r w:rsidRPr="003C0B63">
        <w:rPr>
          <w:sz w:val="24"/>
          <w:szCs w:val="24"/>
          <w:rtl/>
        </w:rPr>
        <w:t xml:space="preserve">גיסא, </w:t>
      </w:r>
      <w:r w:rsidRPr="003C0B63">
        <w:rPr>
          <w:rFonts w:hint="cs"/>
          <w:sz w:val="24"/>
          <w:szCs w:val="24"/>
          <w:rtl/>
        </w:rPr>
        <w:t xml:space="preserve">הצביע השופט ברק על הטעמים העומדים כנגד הכרה בתוקפה </w:t>
      </w:r>
      <w:r w:rsidR="00C901D4">
        <w:rPr>
          <w:rFonts w:hint="cs"/>
          <w:sz w:val="24"/>
          <w:szCs w:val="24"/>
          <w:rtl/>
        </w:rPr>
        <w:t xml:space="preserve">של </w:t>
      </w:r>
      <w:r w:rsidRPr="003C0B63">
        <w:rPr>
          <w:sz w:val="24"/>
          <w:szCs w:val="24"/>
          <w:rtl/>
        </w:rPr>
        <w:t>תניית הסילוקין</w:t>
      </w:r>
      <w:r w:rsidRPr="003C0B63">
        <w:rPr>
          <w:rFonts w:hint="cs"/>
          <w:sz w:val="24"/>
          <w:szCs w:val="24"/>
          <w:rtl/>
        </w:rPr>
        <w:t>, אשר תומכים ב</w:t>
      </w:r>
      <w:r w:rsidRPr="003C0B63">
        <w:rPr>
          <w:sz w:val="24"/>
          <w:szCs w:val="24"/>
          <w:rtl/>
        </w:rPr>
        <w:t>מתן תוקף לזכותו של ה"יורש" לפנות לערכאות</w:t>
      </w:r>
      <w:r w:rsidR="004F33E3">
        <w:rPr>
          <w:rFonts w:hint="cs"/>
          <w:sz w:val="24"/>
          <w:szCs w:val="24"/>
          <w:rtl/>
        </w:rPr>
        <w:t xml:space="preserve"> כנגד הצוואה</w:t>
      </w:r>
      <w:r w:rsidRPr="003C0B63">
        <w:rPr>
          <w:sz w:val="24"/>
          <w:szCs w:val="24"/>
          <w:rtl/>
        </w:rPr>
        <w:t>:</w:t>
      </w:r>
    </w:p>
    <w:p w14:paraId="6D46E6E4" w14:textId="219575FA" w:rsidR="009923F0" w:rsidRPr="003C0B63" w:rsidRDefault="00CE7BBB" w:rsidP="0089308C">
      <w:pPr>
        <w:pStyle w:val="ad"/>
        <w:numPr>
          <w:ilvl w:val="0"/>
          <w:numId w:val="5"/>
        </w:numPr>
        <w:spacing w:line="360" w:lineRule="auto"/>
        <w:jc w:val="both"/>
        <w:rPr>
          <w:sz w:val="24"/>
          <w:szCs w:val="24"/>
        </w:rPr>
      </w:pPr>
      <w:r>
        <w:rPr>
          <w:rFonts w:hint="cs"/>
          <w:sz w:val="24"/>
          <w:szCs w:val="24"/>
          <w:rtl/>
        </w:rPr>
        <w:t xml:space="preserve">הצורך שלא להגן על צוואה פגומה - </w:t>
      </w:r>
      <w:r w:rsidRPr="003C0B63">
        <w:rPr>
          <w:sz w:val="24"/>
          <w:szCs w:val="24"/>
          <w:rtl/>
        </w:rPr>
        <w:t>תניית הסילוקין</w:t>
      </w:r>
      <w:r>
        <w:rPr>
          <w:rFonts w:hint="cs"/>
          <w:sz w:val="24"/>
          <w:szCs w:val="24"/>
          <w:rtl/>
        </w:rPr>
        <w:t>,</w:t>
      </w:r>
      <w:r w:rsidRPr="003C0B63">
        <w:rPr>
          <w:sz w:val="24"/>
          <w:szCs w:val="24"/>
          <w:rtl/>
        </w:rPr>
        <w:t xml:space="preserve"> על פי עצם מהותה</w:t>
      </w:r>
      <w:r>
        <w:rPr>
          <w:rFonts w:hint="cs"/>
          <w:sz w:val="24"/>
          <w:szCs w:val="24"/>
          <w:rtl/>
        </w:rPr>
        <w:t>,</w:t>
      </w:r>
      <w:r w:rsidRPr="003C0B63">
        <w:rPr>
          <w:sz w:val="24"/>
          <w:szCs w:val="24"/>
          <w:rtl/>
        </w:rPr>
        <w:t xml:space="preserve"> </w:t>
      </w:r>
      <w:r>
        <w:rPr>
          <w:rFonts w:hint="cs"/>
          <w:sz w:val="24"/>
          <w:szCs w:val="24"/>
          <w:rtl/>
        </w:rPr>
        <w:t>מרתיעה</w:t>
      </w:r>
      <w:r w:rsidRPr="003C0B63">
        <w:rPr>
          <w:sz w:val="24"/>
          <w:szCs w:val="24"/>
          <w:rtl/>
        </w:rPr>
        <w:t xml:space="preserve"> מתנגדים מלפנות לבית</w:t>
      </w:r>
      <w:r w:rsidR="00C901D4">
        <w:rPr>
          <w:rFonts w:hint="cs"/>
          <w:sz w:val="24"/>
          <w:szCs w:val="24"/>
          <w:rtl/>
        </w:rPr>
        <w:t xml:space="preserve"> </w:t>
      </w:r>
      <w:r w:rsidRPr="003C0B63">
        <w:rPr>
          <w:sz w:val="24"/>
          <w:szCs w:val="24"/>
          <w:rtl/>
        </w:rPr>
        <w:t>המשפט. כתוצאה מכך, עשוי להינתן תוקף לצוואה</w:t>
      </w:r>
      <w:r w:rsidRPr="003C0B63">
        <w:rPr>
          <w:rFonts w:hint="cs"/>
          <w:sz w:val="24"/>
          <w:szCs w:val="24"/>
          <w:rtl/>
        </w:rPr>
        <w:t xml:space="preserve"> פגומה</w:t>
      </w:r>
      <w:r w:rsidRPr="003C0B63">
        <w:rPr>
          <w:sz w:val="24"/>
          <w:szCs w:val="24"/>
          <w:rtl/>
        </w:rPr>
        <w:t>, שאינה משקפת כלל את רצונו של המצווה</w:t>
      </w:r>
      <w:r w:rsidR="0089308C">
        <w:rPr>
          <w:rFonts w:hint="cs"/>
          <w:sz w:val="24"/>
          <w:szCs w:val="24"/>
          <w:rtl/>
        </w:rPr>
        <w:t>;</w:t>
      </w:r>
      <w:r w:rsidRPr="003C0B63">
        <w:rPr>
          <w:rFonts w:hint="cs"/>
          <w:sz w:val="24"/>
          <w:szCs w:val="24"/>
          <w:rtl/>
        </w:rPr>
        <w:t xml:space="preserve"> </w:t>
      </w:r>
    </w:p>
    <w:p w14:paraId="5414BC7A" w14:textId="7622EE87" w:rsidR="009923F0" w:rsidRPr="003C0B63" w:rsidRDefault="00CE7BBB" w:rsidP="0089308C">
      <w:pPr>
        <w:pStyle w:val="ad"/>
        <w:numPr>
          <w:ilvl w:val="0"/>
          <w:numId w:val="5"/>
        </w:numPr>
        <w:spacing w:line="360" w:lineRule="auto"/>
        <w:jc w:val="both"/>
        <w:rPr>
          <w:sz w:val="24"/>
          <w:szCs w:val="24"/>
        </w:rPr>
      </w:pPr>
      <w:r>
        <w:rPr>
          <w:rFonts w:hint="cs"/>
          <w:sz w:val="24"/>
          <w:szCs w:val="24"/>
          <w:rtl/>
        </w:rPr>
        <w:t xml:space="preserve">הגנה על זכות הגישה לערכאות - </w:t>
      </w:r>
      <w:r w:rsidRPr="003C0B63">
        <w:rPr>
          <w:sz w:val="24"/>
          <w:szCs w:val="24"/>
          <w:rtl/>
        </w:rPr>
        <w:t xml:space="preserve">תניית הסילוקין </w:t>
      </w:r>
      <w:r w:rsidRPr="003C0B63">
        <w:rPr>
          <w:rFonts w:hint="cs"/>
          <w:sz w:val="24"/>
          <w:szCs w:val="24"/>
          <w:rtl/>
        </w:rPr>
        <w:t>מטילה "קנס"</w:t>
      </w:r>
      <w:r w:rsidRPr="003C0B63">
        <w:rPr>
          <w:sz w:val="24"/>
          <w:szCs w:val="24"/>
          <w:rtl/>
        </w:rPr>
        <w:t xml:space="preserve"> </w:t>
      </w:r>
      <w:r w:rsidRPr="003C0B63">
        <w:rPr>
          <w:rFonts w:hint="cs"/>
          <w:sz w:val="24"/>
          <w:szCs w:val="24"/>
          <w:rtl/>
        </w:rPr>
        <w:t>על</w:t>
      </w:r>
      <w:r w:rsidRPr="003C0B63">
        <w:rPr>
          <w:sz w:val="24"/>
          <w:szCs w:val="24"/>
          <w:rtl/>
        </w:rPr>
        <w:t xml:space="preserve"> הפונה לבית</w:t>
      </w:r>
      <w:r w:rsidR="00C901D4">
        <w:rPr>
          <w:rFonts w:hint="cs"/>
          <w:sz w:val="24"/>
          <w:szCs w:val="24"/>
          <w:rtl/>
        </w:rPr>
        <w:t xml:space="preserve"> </w:t>
      </w:r>
      <w:r w:rsidRPr="003C0B63">
        <w:rPr>
          <w:sz w:val="24"/>
          <w:szCs w:val="24"/>
          <w:rtl/>
        </w:rPr>
        <w:t>המשפט, והיא נופלת לקבוצת התניות החוסמות הלכה למעשה את הגישה לבתי</w:t>
      </w:r>
      <w:r w:rsidR="00C901D4">
        <w:rPr>
          <w:rFonts w:hint="cs"/>
          <w:sz w:val="24"/>
          <w:szCs w:val="24"/>
          <w:rtl/>
        </w:rPr>
        <w:t xml:space="preserve"> </w:t>
      </w:r>
      <w:r w:rsidRPr="003C0B63">
        <w:rPr>
          <w:sz w:val="24"/>
          <w:szCs w:val="24"/>
          <w:rtl/>
        </w:rPr>
        <w:t>המשפט</w:t>
      </w:r>
      <w:r w:rsidR="0089308C">
        <w:rPr>
          <w:rFonts w:hint="cs"/>
          <w:sz w:val="24"/>
          <w:szCs w:val="24"/>
          <w:rtl/>
        </w:rPr>
        <w:t>;</w:t>
      </w:r>
      <w:r w:rsidRPr="003C0B63">
        <w:rPr>
          <w:sz w:val="24"/>
          <w:szCs w:val="24"/>
          <w:rtl/>
        </w:rPr>
        <w:t xml:space="preserve"> </w:t>
      </w:r>
    </w:p>
    <w:p w14:paraId="3A8F73B4" w14:textId="291155E3" w:rsidR="009923F0" w:rsidRPr="003C0B63" w:rsidRDefault="00CE7BBB" w:rsidP="009923F0">
      <w:pPr>
        <w:pStyle w:val="ad"/>
        <w:numPr>
          <w:ilvl w:val="0"/>
          <w:numId w:val="5"/>
        </w:numPr>
        <w:spacing w:line="360" w:lineRule="auto"/>
        <w:jc w:val="both"/>
        <w:rPr>
          <w:sz w:val="24"/>
          <w:szCs w:val="24"/>
          <w:rtl/>
        </w:rPr>
      </w:pPr>
      <w:r>
        <w:rPr>
          <w:rFonts w:hint="cs"/>
          <w:sz w:val="24"/>
          <w:szCs w:val="24"/>
          <w:rtl/>
        </w:rPr>
        <w:t xml:space="preserve">הצורך שלא להגן על מעשים בלתי חוקיים - </w:t>
      </w:r>
      <w:r w:rsidRPr="003C0B63">
        <w:rPr>
          <w:sz w:val="24"/>
          <w:szCs w:val="24"/>
          <w:rtl/>
        </w:rPr>
        <w:t>מתן תוקף לתניית סילוקין עשוי לעודד מעשים בלתי</w:t>
      </w:r>
      <w:r w:rsidR="00C901D4">
        <w:rPr>
          <w:rFonts w:hint="cs"/>
          <w:sz w:val="24"/>
          <w:szCs w:val="24"/>
          <w:rtl/>
        </w:rPr>
        <w:t xml:space="preserve"> </w:t>
      </w:r>
      <w:r w:rsidRPr="003C0B63">
        <w:rPr>
          <w:sz w:val="24"/>
          <w:szCs w:val="24"/>
          <w:rtl/>
        </w:rPr>
        <w:t xml:space="preserve">חוקיים. מתנגד פוטנציאלי תם לב עשוי </w:t>
      </w:r>
      <w:r w:rsidRPr="003C0B63">
        <w:rPr>
          <w:rFonts w:hint="cs"/>
          <w:sz w:val="24"/>
          <w:szCs w:val="24"/>
          <w:rtl/>
        </w:rPr>
        <w:t>להימנע מ</w:t>
      </w:r>
      <w:r w:rsidRPr="003C0B63">
        <w:rPr>
          <w:sz w:val="24"/>
          <w:szCs w:val="24"/>
          <w:rtl/>
        </w:rPr>
        <w:t>חשיפת אי</w:t>
      </w:r>
      <w:r w:rsidRPr="003C0B63">
        <w:rPr>
          <w:rFonts w:hint="cs"/>
          <w:sz w:val="24"/>
          <w:szCs w:val="24"/>
          <w:rtl/>
        </w:rPr>
        <w:t>-</w:t>
      </w:r>
      <w:r w:rsidRPr="003C0B63">
        <w:rPr>
          <w:sz w:val="24"/>
          <w:szCs w:val="24"/>
          <w:rtl/>
        </w:rPr>
        <w:t>החוקיות</w:t>
      </w:r>
      <w:r w:rsidRPr="003C0B63">
        <w:rPr>
          <w:rFonts w:hint="cs"/>
          <w:sz w:val="24"/>
          <w:szCs w:val="24"/>
          <w:rtl/>
        </w:rPr>
        <w:t xml:space="preserve"> של הצוואה</w:t>
      </w:r>
      <w:r w:rsidRPr="003C0B63">
        <w:rPr>
          <w:sz w:val="24"/>
          <w:szCs w:val="24"/>
          <w:rtl/>
        </w:rPr>
        <w:t>, בשל חששו כי אם טענתו תידחה יסולק מהירושה. בכך ניתנת חסינות דה פקטו למבצע תרמיות למיניהן.</w:t>
      </w:r>
    </w:p>
    <w:p w14:paraId="2C56A2FF" w14:textId="77777777" w:rsidR="009923F0" w:rsidRPr="003C0B63" w:rsidRDefault="009923F0" w:rsidP="009923F0">
      <w:pPr>
        <w:spacing w:line="360" w:lineRule="auto"/>
        <w:jc w:val="both"/>
        <w:rPr>
          <w:sz w:val="24"/>
          <w:szCs w:val="24"/>
          <w:rtl/>
        </w:rPr>
      </w:pPr>
    </w:p>
    <w:p w14:paraId="12B7EBFA" w14:textId="28CF4471" w:rsidR="009923F0" w:rsidRPr="003C0B63" w:rsidRDefault="00CE7BBB" w:rsidP="00C901D4">
      <w:pPr>
        <w:spacing w:line="360" w:lineRule="auto"/>
        <w:jc w:val="both"/>
        <w:rPr>
          <w:sz w:val="24"/>
          <w:szCs w:val="24"/>
          <w:rtl/>
        </w:rPr>
      </w:pPr>
      <w:r w:rsidRPr="003C0B63">
        <w:rPr>
          <w:rFonts w:hint="cs"/>
          <w:sz w:val="24"/>
          <w:szCs w:val="24"/>
          <w:rtl/>
        </w:rPr>
        <w:t>בהמשך, הצביע השופט ברק על</w:t>
      </w:r>
      <w:r w:rsidRPr="003C0B63">
        <w:rPr>
          <w:sz w:val="24"/>
          <w:szCs w:val="24"/>
          <w:rtl/>
        </w:rPr>
        <w:t xml:space="preserve"> שלושה פתרונות אפשריים</w:t>
      </w:r>
      <w:r w:rsidRPr="003C0B63">
        <w:rPr>
          <w:rFonts w:hint="cs"/>
          <w:sz w:val="24"/>
          <w:szCs w:val="24"/>
          <w:rtl/>
        </w:rPr>
        <w:t xml:space="preserve"> לעריכת איזון בין השיקולים השונים</w:t>
      </w:r>
      <w:r w:rsidRPr="003C0B63">
        <w:rPr>
          <w:sz w:val="24"/>
          <w:szCs w:val="24"/>
          <w:rtl/>
        </w:rPr>
        <w:t>:</w:t>
      </w:r>
      <w:r w:rsidRPr="003C0B63">
        <w:rPr>
          <w:rFonts w:hint="cs"/>
          <w:sz w:val="24"/>
          <w:szCs w:val="24"/>
          <w:rtl/>
        </w:rPr>
        <w:t xml:space="preserve"> הראשון, </w:t>
      </w:r>
      <w:r w:rsidRPr="003C0B63">
        <w:rPr>
          <w:sz w:val="24"/>
          <w:szCs w:val="24"/>
          <w:rtl/>
        </w:rPr>
        <w:t>מתן תוקף בלתי מסויג לתניית הסילוקין</w:t>
      </w:r>
      <w:r w:rsidR="004D0042">
        <w:rPr>
          <w:rFonts w:hint="cs"/>
          <w:sz w:val="24"/>
          <w:szCs w:val="24"/>
          <w:rtl/>
        </w:rPr>
        <w:t>.</w:t>
      </w:r>
      <w:r w:rsidRPr="003C0B63">
        <w:rPr>
          <w:sz w:val="24"/>
          <w:szCs w:val="24"/>
          <w:rtl/>
        </w:rPr>
        <w:t xml:space="preserve"> על פי גישה זו </w:t>
      </w:r>
      <w:r w:rsidR="00C901D4" w:rsidRPr="003C0B63">
        <w:rPr>
          <w:sz w:val="24"/>
          <w:szCs w:val="24"/>
          <w:rtl/>
        </w:rPr>
        <w:t>נית</w:t>
      </w:r>
      <w:r w:rsidR="00C901D4">
        <w:rPr>
          <w:rFonts w:hint="cs"/>
          <w:sz w:val="24"/>
          <w:szCs w:val="24"/>
          <w:rtl/>
        </w:rPr>
        <w:t>נה</w:t>
      </w:r>
      <w:r w:rsidR="00C901D4" w:rsidRPr="003C0B63">
        <w:rPr>
          <w:sz w:val="24"/>
          <w:szCs w:val="24"/>
          <w:rtl/>
        </w:rPr>
        <w:t xml:space="preserve"> </w:t>
      </w:r>
      <w:r w:rsidRPr="003C0B63">
        <w:rPr>
          <w:sz w:val="24"/>
          <w:szCs w:val="24"/>
          <w:rtl/>
        </w:rPr>
        <w:t>עדיפות למעשה לעקרון של "כיבוד רצון המת"</w:t>
      </w:r>
      <w:r w:rsidR="004D0042">
        <w:rPr>
          <w:rFonts w:hint="cs"/>
          <w:sz w:val="24"/>
          <w:szCs w:val="24"/>
          <w:rtl/>
        </w:rPr>
        <w:t xml:space="preserve"> על פני זכות הגישה לערכאות של הנהנה</w:t>
      </w:r>
      <w:r w:rsidR="00C901D4">
        <w:rPr>
          <w:rFonts w:hint="cs"/>
          <w:sz w:val="24"/>
          <w:szCs w:val="24"/>
          <w:rtl/>
        </w:rPr>
        <w:t>,</w:t>
      </w:r>
      <w:r w:rsidR="004D0042">
        <w:rPr>
          <w:rFonts w:hint="cs"/>
          <w:sz w:val="24"/>
          <w:szCs w:val="24"/>
          <w:rtl/>
        </w:rPr>
        <w:t xml:space="preserve"> המבקש לתקוף את הצוואה ("מודל התוקף הבלתי מסויג")</w:t>
      </w:r>
      <w:r w:rsidRPr="003C0B63">
        <w:rPr>
          <w:sz w:val="24"/>
          <w:szCs w:val="24"/>
          <w:rtl/>
        </w:rPr>
        <w:t>;</w:t>
      </w:r>
      <w:r w:rsidRPr="003C0B63">
        <w:rPr>
          <w:rFonts w:hint="cs"/>
          <w:sz w:val="24"/>
          <w:szCs w:val="24"/>
          <w:rtl/>
        </w:rPr>
        <w:t xml:space="preserve"> השני, </w:t>
      </w:r>
      <w:r w:rsidRPr="003C0B63">
        <w:rPr>
          <w:sz w:val="24"/>
          <w:szCs w:val="24"/>
          <w:rtl/>
        </w:rPr>
        <w:t>בטלות מוחלטת של תניית הסילוקין בהיותה נוגדת את תקנת הציבור</w:t>
      </w:r>
      <w:r w:rsidR="004D0042">
        <w:rPr>
          <w:rFonts w:hint="cs"/>
          <w:sz w:val="24"/>
          <w:szCs w:val="24"/>
          <w:rtl/>
        </w:rPr>
        <w:t>.</w:t>
      </w:r>
      <w:r w:rsidRPr="003C0B63">
        <w:rPr>
          <w:sz w:val="24"/>
          <w:szCs w:val="24"/>
          <w:rtl/>
        </w:rPr>
        <w:t xml:space="preserve"> על פי גישה זו ניתנת עדיפות </w:t>
      </w:r>
      <w:r w:rsidRPr="003C0B63">
        <w:rPr>
          <w:rFonts w:hint="cs"/>
          <w:sz w:val="24"/>
          <w:szCs w:val="24"/>
          <w:rtl/>
        </w:rPr>
        <w:t>מוחלטת</w:t>
      </w:r>
      <w:r w:rsidRPr="003C0B63">
        <w:rPr>
          <w:sz w:val="24"/>
          <w:szCs w:val="24"/>
          <w:rtl/>
        </w:rPr>
        <w:t xml:space="preserve"> לזכות הגישה לערכאות</w:t>
      </w:r>
      <w:r w:rsidR="004D0042">
        <w:rPr>
          <w:rFonts w:hint="cs"/>
          <w:sz w:val="24"/>
          <w:szCs w:val="24"/>
          <w:rtl/>
        </w:rPr>
        <w:t xml:space="preserve"> על פני "כיבוד רצון המת" ("מודל העדר התוקף")</w:t>
      </w:r>
      <w:r w:rsidRPr="003C0B63">
        <w:rPr>
          <w:rFonts w:hint="cs"/>
          <w:sz w:val="24"/>
          <w:szCs w:val="24"/>
          <w:rtl/>
        </w:rPr>
        <w:t xml:space="preserve">; השלישי, </w:t>
      </w:r>
      <w:r w:rsidRPr="003C0B63">
        <w:rPr>
          <w:sz w:val="24"/>
          <w:szCs w:val="24"/>
          <w:rtl/>
        </w:rPr>
        <w:t xml:space="preserve">מתן תוקף לתניית סילוקין </w:t>
      </w:r>
      <w:r w:rsidR="00CB688E">
        <w:rPr>
          <w:rFonts w:hint="cs"/>
          <w:sz w:val="24"/>
          <w:szCs w:val="24"/>
          <w:rtl/>
        </w:rPr>
        <w:t xml:space="preserve">והפעלתה </w:t>
      </w:r>
      <w:r w:rsidRPr="003C0B63">
        <w:rPr>
          <w:sz w:val="24"/>
          <w:szCs w:val="24"/>
          <w:rtl/>
        </w:rPr>
        <w:t>בתנאים מסוימים ושלילת</w:t>
      </w:r>
      <w:r w:rsidR="00CB688E">
        <w:rPr>
          <w:rFonts w:hint="cs"/>
          <w:sz w:val="24"/>
          <w:szCs w:val="24"/>
          <w:rtl/>
        </w:rPr>
        <w:t xml:space="preserve"> הפעלתה</w:t>
      </w:r>
      <w:r w:rsidRPr="003C0B63">
        <w:rPr>
          <w:sz w:val="24"/>
          <w:szCs w:val="24"/>
          <w:rtl/>
        </w:rPr>
        <w:t xml:space="preserve"> בתנאים אחרים. על פי גישה זו, יש מן התבונה והאמת בכל אחד ממערכות השיקולים הנוגדים ועל כן צריך הפתרון להימצא באיזון ביניהם</w:t>
      </w:r>
      <w:r w:rsidRPr="003C0B63">
        <w:rPr>
          <w:rFonts w:hint="cs"/>
          <w:sz w:val="24"/>
          <w:szCs w:val="24"/>
          <w:rtl/>
        </w:rPr>
        <w:t>.</w:t>
      </w:r>
      <w:r>
        <w:rPr>
          <w:rStyle w:val="a3"/>
          <w:sz w:val="24"/>
          <w:szCs w:val="24"/>
          <w:rtl/>
        </w:rPr>
        <w:footnoteReference w:id="66"/>
      </w:r>
      <w:r w:rsidRPr="003C0B63">
        <w:rPr>
          <w:rFonts w:hint="cs"/>
          <w:sz w:val="24"/>
          <w:szCs w:val="24"/>
          <w:rtl/>
        </w:rPr>
        <w:t xml:space="preserve"> </w:t>
      </w:r>
      <w:r w:rsidRPr="003C0B63">
        <w:rPr>
          <w:sz w:val="24"/>
          <w:szCs w:val="24"/>
          <w:rtl/>
        </w:rPr>
        <w:t>בסופו של דבר</w:t>
      </w:r>
      <w:r w:rsidR="00C901D4">
        <w:rPr>
          <w:rFonts w:hint="cs"/>
          <w:sz w:val="24"/>
          <w:szCs w:val="24"/>
          <w:rtl/>
        </w:rPr>
        <w:t>,</w:t>
      </w:r>
      <w:r w:rsidRPr="003C0B63">
        <w:rPr>
          <w:sz w:val="24"/>
          <w:szCs w:val="24"/>
          <w:rtl/>
        </w:rPr>
        <w:t xml:space="preserve"> </w:t>
      </w:r>
      <w:r w:rsidRPr="003C0B63">
        <w:rPr>
          <w:rFonts w:hint="cs"/>
          <w:sz w:val="24"/>
          <w:szCs w:val="24"/>
          <w:rtl/>
        </w:rPr>
        <w:t>אימץ</w:t>
      </w:r>
      <w:r w:rsidRPr="003C0B63">
        <w:rPr>
          <w:sz w:val="24"/>
          <w:szCs w:val="24"/>
          <w:rtl/>
        </w:rPr>
        <w:t xml:space="preserve"> </w:t>
      </w:r>
      <w:r w:rsidR="00C901D4">
        <w:rPr>
          <w:rFonts w:hint="cs"/>
          <w:sz w:val="24"/>
          <w:szCs w:val="24"/>
          <w:rtl/>
        </w:rPr>
        <w:t xml:space="preserve">השופט </w:t>
      </w:r>
      <w:r w:rsidRPr="003C0B63">
        <w:rPr>
          <w:sz w:val="24"/>
          <w:szCs w:val="24"/>
          <w:rtl/>
        </w:rPr>
        <w:t xml:space="preserve">ברק </w:t>
      </w:r>
      <w:r w:rsidRPr="003C0B63">
        <w:rPr>
          <w:rFonts w:hint="cs"/>
          <w:sz w:val="24"/>
          <w:szCs w:val="24"/>
          <w:rtl/>
        </w:rPr>
        <w:t>את ה</w:t>
      </w:r>
      <w:r w:rsidRPr="003C0B63">
        <w:rPr>
          <w:sz w:val="24"/>
          <w:szCs w:val="24"/>
          <w:rtl/>
        </w:rPr>
        <w:t>פתרון השלישי</w:t>
      </w:r>
      <w:r w:rsidR="00C901D4">
        <w:rPr>
          <w:rFonts w:hint="cs"/>
          <w:sz w:val="24"/>
          <w:szCs w:val="24"/>
          <w:rtl/>
        </w:rPr>
        <w:t>,</w:t>
      </w:r>
      <w:r w:rsidR="00E222E7">
        <w:rPr>
          <w:rFonts w:hint="cs"/>
          <w:sz w:val="24"/>
          <w:szCs w:val="24"/>
          <w:rtl/>
        </w:rPr>
        <w:t xml:space="preserve"> אשר כונה על</w:t>
      </w:r>
      <w:r w:rsidR="00C901D4">
        <w:rPr>
          <w:rFonts w:hint="cs"/>
          <w:sz w:val="24"/>
          <w:szCs w:val="24"/>
          <w:rtl/>
        </w:rPr>
        <w:t xml:space="preserve"> </w:t>
      </w:r>
      <w:r w:rsidR="00E222E7">
        <w:rPr>
          <w:rFonts w:hint="cs"/>
          <w:sz w:val="24"/>
          <w:szCs w:val="24"/>
          <w:rtl/>
        </w:rPr>
        <w:t xml:space="preserve">ידנו </w:t>
      </w:r>
      <w:r w:rsidR="00BC4731">
        <w:rPr>
          <w:rFonts w:hint="cs"/>
          <w:sz w:val="24"/>
          <w:szCs w:val="24"/>
          <w:rtl/>
        </w:rPr>
        <w:t>"מודל ההפעלה מותנית"</w:t>
      </w:r>
      <w:r w:rsidRPr="003C0B63">
        <w:rPr>
          <w:rFonts w:hint="cs"/>
          <w:sz w:val="24"/>
          <w:szCs w:val="24"/>
          <w:rtl/>
        </w:rPr>
        <w:t>. את קביעתו נימק כך:</w:t>
      </w:r>
      <w:r>
        <w:rPr>
          <w:rStyle w:val="a3"/>
          <w:sz w:val="24"/>
          <w:szCs w:val="24"/>
          <w:rtl/>
        </w:rPr>
        <w:footnoteReference w:id="67"/>
      </w:r>
    </w:p>
    <w:p w14:paraId="1F78640A" w14:textId="77777777" w:rsidR="009923F0" w:rsidRPr="003C0B63" w:rsidRDefault="009923F0" w:rsidP="009923F0">
      <w:pPr>
        <w:spacing w:line="360" w:lineRule="auto"/>
        <w:jc w:val="both"/>
        <w:rPr>
          <w:sz w:val="24"/>
          <w:szCs w:val="24"/>
          <w:rtl/>
        </w:rPr>
      </w:pPr>
    </w:p>
    <w:p w14:paraId="68A2A5AD" w14:textId="7553B00C" w:rsidR="009923F0" w:rsidRPr="003C0B63" w:rsidRDefault="00CE7BBB" w:rsidP="009923F0">
      <w:pPr>
        <w:spacing w:line="360" w:lineRule="auto"/>
        <w:ind w:left="720" w:right="720"/>
        <w:jc w:val="both"/>
        <w:rPr>
          <w:sz w:val="24"/>
          <w:szCs w:val="24"/>
          <w:rtl/>
        </w:rPr>
      </w:pPr>
      <w:r w:rsidRPr="003C0B63">
        <w:rPr>
          <w:sz w:val="24"/>
          <w:szCs w:val="24"/>
          <w:rtl/>
        </w:rPr>
        <w:t xml:space="preserve">"אכן, תניית סילוקין כשלעצמה אינה בטלה מאליה. יש ליתן לה תוקף מכוח הטעמים התומכים בה. על כן, אם יורש על פי צוואה מתנגד לקיומה בטענות סרק - טענה שיש בה </w:t>
      </w:r>
      <w:r w:rsidRPr="003C0B63">
        <w:rPr>
          <w:rFonts w:hint="cs"/>
          <w:sz w:val="24"/>
          <w:szCs w:val="24"/>
          <w:rtl/>
        </w:rPr>
        <w:t>'</w:t>
      </w:r>
      <w:r w:rsidRPr="003C0B63">
        <w:rPr>
          <w:sz w:val="24"/>
          <w:szCs w:val="24"/>
          <w:rtl/>
        </w:rPr>
        <w:t xml:space="preserve">משום, בחינת עקימת הכתוב, בחינת קראו ליום לילה ולילה </w:t>
      </w:r>
      <w:r w:rsidR="00C901D4">
        <w:rPr>
          <w:rFonts w:hint="cs"/>
          <w:sz w:val="24"/>
          <w:szCs w:val="24"/>
          <w:rtl/>
        </w:rPr>
        <w:t>ל</w:t>
      </w:r>
      <w:r w:rsidRPr="003C0B63">
        <w:rPr>
          <w:sz w:val="24"/>
          <w:szCs w:val="24"/>
          <w:rtl/>
        </w:rPr>
        <w:t>יום</w:t>
      </w:r>
      <w:r w:rsidRPr="003C0B63">
        <w:rPr>
          <w:rFonts w:hint="cs"/>
          <w:sz w:val="24"/>
          <w:szCs w:val="24"/>
          <w:rtl/>
        </w:rPr>
        <w:t>'</w:t>
      </w:r>
      <w:r w:rsidRPr="003C0B63">
        <w:rPr>
          <w:sz w:val="24"/>
          <w:szCs w:val="24"/>
          <w:rtl/>
        </w:rPr>
        <w:t xml:space="preserve"> </w:t>
      </w:r>
      <w:r w:rsidRPr="003C0B63">
        <w:rPr>
          <w:rFonts w:hint="cs"/>
          <w:sz w:val="24"/>
          <w:szCs w:val="24"/>
          <w:rtl/>
        </w:rPr>
        <w:t>[</w:t>
      </w:r>
      <w:r w:rsidRPr="003C0B63">
        <w:rPr>
          <w:sz w:val="24"/>
          <w:szCs w:val="24"/>
          <w:rtl/>
        </w:rPr>
        <w:t>...</w:t>
      </w:r>
      <w:r w:rsidRPr="003C0B63">
        <w:rPr>
          <w:rFonts w:hint="cs"/>
          <w:sz w:val="24"/>
          <w:szCs w:val="24"/>
          <w:rtl/>
        </w:rPr>
        <w:t>]</w:t>
      </w:r>
      <w:r w:rsidRPr="003C0B63">
        <w:rPr>
          <w:sz w:val="24"/>
          <w:szCs w:val="24"/>
          <w:rtl/>
        </w:rPr>
        <w:t xml:space="preserve"> ושלא בתום לב,</w:t>
      </w:r>
      <w:r>
        <w:rPr>
          <w:rStyle w:val="a3"/>
          <w:sz w:val="24"/>
          <w:szCs w:val="24"/>
          <w:rtl/>
        </w:rPr>
        <w:footnoteReference w:id="68"/>
      </w:r>
      <w:r w:rsidRPr="003C0B63">
        <w:rPr>
          <w:sz w:val="24"/>
          <w:szCs w:val="24"/>
          <w:rtl/>
        </w:rPr>
        <w:t xml:space="preserve"> יש מקום לקיים את האמור בתנייה. במצב דברים זה, יד השיקולים התומכים בתוקף התנייה על העליונה. עם זאת, אין ליתן לה תוקף מכוח הטעמים השוללים אותה - מקום שההתנגדות מבוססת על עילה סבירה ובתום</w:t>
      </w:r>
      <w:r w:rsidR="00C901D4">
        <w:rPr>
          <w:rFonts w:hint="cs"/>
          <w:sz w:val="24"/>
          <w:szCs w:val="24"/>
          <w:rtl/>
        </w:rPr>
        <w:t xml:space="preserve"> </w:t>
      </w:r>
      <w:r w:rsidRPr="003C0B63">
        <w:rPr>
          <w:sz w:val="24"/>
          <w:szCs w:val="24"/>
          <w:rtl/>
        </w:rPr>
        <w:t xml:space="preserve">לב. גישה זו לתניית הסילוקין מקיימת איזון ראוי בין השיקולים הנוגדים השונים </w:t>
      </w:r>
      <w:r w:rsidRPr="003C0B63">
        <w:rPr>
          <w:rFonts w:hint="cs"/>
          <w:sz w:val="24"/>
          <w:szCs w:val="24"/>
          <w:rtl/>
        </w:rPr>
        <w:t>[</w:t>
      </w:r>
      <w:r w:rsidRPr="003C0B63">
        <w:rPr>
          <w:sz w:val="24"/>
          <w:szCs w:val="24"/>
          <w:rtl/>
        </w:rPr>
        <w:t>..</w:t>
      </w:r>
      <w:r w:rsidRPr="003C0B63">
        <w:rPr>
          <w:rFonts w:hint="cs"/>
          <w:sz w:val="24"/>
          <w:szCs w:val="24"/>
          <w:rtl/>
        </w:rPr>
        <w:t>.]</w:t>
      </w:r>
      <w:r w:rsidR="00C901D4">
        <w:rPr>
          <w:rFonts w:hint="cs"/>
          <w:sz w:val="24"/>
          <w:szCs w:val="24"/>
          <w:rtl/>
        </w:rPr>
        <w:t>.</w:t>
      </w:r>
      <w:r w:rsidRPr="003C0B63">
        <w:rPr>
          <w:sz w:val="24"/>
          <w:szCs w:val="24"/>
          <w:rtl/>
        </w:rPr>
        <w:t>"</w:t>
      </w:r>
    </w:p>
    <w:p w14:paraId="154D1140" w14:textId="77777777" w:rsidR="009923F0" w:rsidRPr="003C0B63" w:rsidRDefault="009923F0" w:rsidP="009923F0">
      <w:pPr>
        <w:spacing w:line="360" w:lineRule="auto"/>
        <w:jc w:val="both"/>
        <w:rPr>
          <w:sz w:val="24"/>
          <w:szCs w:val="24"/>
          <w:rtl/>
        </w:rPr>
      </w:pPr>
    </w:p>
    <w:p w14:paraId="489B91E0" w14:textId="3AE16175" w:rsidR="00804CC1" w:rsidRDefault="00CE7BBB" w:rsidP="00A07392">
      <w:pPr>
        <w:spacing w:line="360" w:lineRule="auto"/>
        <w:jc w:val="both"/>
        <w:rPr>
          <w:sz w:val="24"/>
          <w:szCs w:val="24"/>
          <w:rtl/>
        </w:rPr>
      </w:pPr>
      <w:r w:rsidRPr="003C0B63">
        <w:rPr>
          <w:rFonts w:hint="cs"/>
          <w:sz w:val="24"/>
          <w:szCs w:val="24"/>
          <w:rtl/>
        </w:rPr>
        <w:t>למעשה,</w:t>
      </w:r>
      <w:r w:rsidRPr="003C0B63">
        <w:rPr>
          <w:rFonts w:hint="cs"/>
          <w:color w:val="FF0000"/>
          <w:sz w:val="24"/>
          <w:szCs w:val="24"/>
          <w:rtl/>
        </w:rPr>
        <w:t xml:space="preserve"> </w:t>
      </w:r>
      <w:r w:rsidRPr="003C0B63">
        <w:rPr>
          <w:rFonts w:hint="cs"/>
          <w:sz w:val="24"/>
          <w:szCs w:val="24"/>
          <w:rtl/>
        </w:rPr>
        <w:t>ב</w:t>
      </w:r>
      <w:r w:rsidRPr="003C0B63">
        <w:rPr>
          <w:sz w:val="24"/>
          <w:szCs w:val="24"/>
          <w:rtl/>
        </w:rPr>
        <w:t xml:space="preserve">אשר לתוקפה </w:t>
      </w:r>
      <w:r w:rsidR="00CB688E">
        <w:rPr>
          <w:rFonts w:hint="cs"/>
          <w:sz w:val="24"/>
          <w:szCs w:val="24"/>
          <w:rtl/>
        </w:rPr>
        <w:t xml:space="preserve">והפעלתה </w:t>
      </w:r>
      <w:r w:rsidRPr="003C0B63">
        <w:rPr>
          <w:sz w:val="24"/>
          <w:szCs w:val="24"/>
          <w:rtl/>
        </w:rPr>
        <w:t>של תניית סילוקין</w:t>
      </w:r>
      <w:r w:rsidR="00A07392">
        <w:rPr>
          <w:rFonts w:hint="cs"/>
          <w:sz w:val="24"/>
          <w:szCs w:val="24"/>
          <w:rtl/>
        </w:rPr>
        <w:t>,</w:t>
      </w:r>
      <w:r w:rsidRPr="003C0B63">
        <w:rPr>
          <w:sz w:val="24"/>
          <w:szCs w:val="24"/>
          <w:rtl/>
        </w:rPr>
        <w:t xml:space="preserve"> קבעו כל השופטים בהסכמה, כי </w:t>
      </w:r>
      <w:r w:rsidR="00BC4731">
        <w:rPr>
          <w:rFonts w:hint="cs"/>
          <w:sz w:val="24"/>
          <w:szCs w:val="24"/>
          <w:rtl/>
        </w:rPr>
        <w:t xml:space="preserve">תניית סילוקין </w:t>
      </w:r>
      <w:r w:rsidRPr="003C0B63">
        <w:rPr>
          <w:sz w:val="24"/>
          <w:szCs w:val="24"/>
          <w:rtl/>
        </w:rPr>
        <w:t xml:space="preserve">אינה נוגדת </w:t>
      </w:r>
      <w:r w:rsidR="00BC4731">
        <w:rPr>
          <w:rFonts w:hint="cs"/>
          <w:sz w:val="24"/>
          <w:szCs w:val="24"/>
          <w:rtl/>
        </w:rPr>
        <w:t xml:space="preserve">כשלעצמה </w:t>
      </w:r>
      <w:r w:rsidRPr="003C0B63">
        <w:rPr>
          <w:sz w:val="24"/>
          <w:szCs w:val="24"/>
          <w:rtl/>
        </w:rPr>
        <w:t>את תקנת הציבור.</w:t>
      </w:r>
      <w:r w:rsidRPr="003C0B63">
        <w:rPr>
          <w:rFonts w:hint="cs"/>
          <w:sz w:val="24"/>
          <w:szCs w:val="24"/>
          <w:rtl/>
        </w:rPr>
        <w:t xml:space="preserve"> השופט מלץ, בהתאם לגישתו לפיה ניתן לבטל תנייה בצוואה </w:t>
      </w:r>
      <w:r w:rsidRPr="003C0B63">
        <w:rPr>
          <w:sz w:val="24"/>
          <w:szCs w:val="24"/>
          <w:rtl/>
        </w:rPr>
        <w:t xml:space="preserve">רק </w:t>
      </w:r>
      <w:r w:rsidRPr="003C0B63">
        <w:rPr>
          <w:rFonts w:hint="cs"/>
          <w:sz w:val="24"/>
          <w:szCs w:val="24"/>
          <w:rtl/>
        </w:rPr>
        <w:t xml:space="preserve">כאשר </w:t>
      </w:r>
      <w:r w:rsidRPr="003C0B63">
        <w:rPr>
          <w:sz w:val="24"/>
          <w:szCs w:val="24"/>
          <w:rtl/>
        </w:rPr>
        <w:t xml:space="preserve">הפגיעה בתקנת הציבור </w:t>
      </w:r>
      <w:r w:rsidRPr="003C0B63">
        <w:rPr>
          <w:rFonts w:hint="cs"/>
          <w:sz w:val="24"/>
          <w:szCs w:val="24"/>
          <w:rtl/>
        </w:rPr>
        <w:t xml:space="preserve">עולה </w:t>
      </w:r>
      <w:r w:rsidRPr="003C0B63">
        <w:rPr>
          <w:sz w:val="24"/>
          <w:szCs w:val="24"/>
          <w:rtl/>
        </w:rPr>
        <w:t>כדי אי-חוקיות או אי-מוסריות</w:t>
      </w:r>
      <w:r w:rsidRPr="003C0B63">
        <w:rPr>
          <w:rFonts w:hint="cs"/>
          <w:sz w:val="24"/>
          <w:szCs w:val="24"/>
          <w:rtl/>
        </w:rPr>
        <w:t xml:space="preserve">, סבר כי לא מתקיימים הטעמים לביטול התנייה. </w:t>
      </w:r>
      <w:r w:rsidRPr="003C0B63">
        <w:rPr>
          <w:sz w:val="24"/>
          <w:szCs w:val="24"/>
          <w:rtl/>
        </w:rPr>
        <w:t xml:space="preserve">השופט ברק </w:t>
      </w:r>
      <w:r w:rsidR="00847C77">
        <w:rPr>
          <w:rFonts w:hint="cs"/>
          <w:sz w:val="24"/>
          <w:szCs w:val="24"/>
          <w:rtl/>
        </w:rPr>
        <w:t>קבע</w:t>
      </w:r>
      <w:r w:rsidR="00A07392">
        <w:rPr>
          <w:rFonts w:hint="cs"/>
          <w:sz w:val="24"/>
          <w:szCs w:val="24"/>
          <w:rtl/>
        </w:rPr>
        <w:t>,</w:t>
      </w:r>
      <w:r w:rsidR="00847C77">
        <w:rPr>
          <w:rFonts w:hint="cs"/>
          <w:sz w:val="24"/>
          <w:szCs w:val="24"/>
          <w:rtl/>
        </w:rPr>
        <w:t xml:space="preserve"> בדעת הרוב, כי תניית הסילוקין אינה בטלה מאליה, וב</w:t>
      </w:r>
      <w:r w:rsidRPr="003C0B63">
        <w:rPr>
          <w:sz w:val="24"/>
          <w:szCs w:val="24"/>
          <w:rtl/>
        </w:rPr>
        <w:t xml:space="preserve">נסיבות המקרה יש </w:t>
      </w:r>
      <w:r w:rsidR="00847C77">
        <w:rPr>
          <w:rFonts w:hint="cs"/>
          <w:sz w:val="24"/>
          <w:szCs w:val="24"/>
          <w:rtl/>
        </w:rPr>
        <w:t>להפעילה</w:t>
      </w:r>
      <w:r w:rsidRPr="003C0B63">
        <w:rPr>
          <w:sz w:val="24"/>
          <w:szCs w:val="24"/>
          <w:rtl/>
        </w:rPr>
        <w:t xml:space="preserve">, שכן טענותיה של המערערת כנגד תוקף הצוואה לא הועלו בתום לב ואין בהן התנגדות שהיא סבירה בנסיבותיה. </w:t>
      </w:r>
    </w:p>
    <w:p w14:paraId="13381F1C" w14:textId="057E594B" w:rsidR="009923F0" w:rsidRDefault="00CE7BBB" w:rsidP="0087121F">
      <w:pPr>
        <w:spacing w:line="360" w:lineRule="auto"/>
        <w:ind w:firstLine="567"/>
        <w:jc w:val="both"/>
        <w:rPr>
          <w:sz w:val="24"/>
          <w:szCs w:val="24"/>
          <w:rtl/>
        </w:rPr>
      </w:pPr>
      <w:r w:rsidRPr="003C0B63">
        <w:rPr>
          <w:rFonts w:hint="cs"/>
          <w:sz w:val="24"/>
          <w:szCs w:val="24"/>
          <w:rtl/>
        </w:rPr>
        <w:t xml:space="preserve">את ההלכה שנקבע בפרשת </w:t>
      </w:r>
      <w:r w:rsidRPr="003C0B63">
        <w:rPr>
          <w:rFonts w:hint="cs"/>
          <w:b/>
          <w:bCs/>
          <w:sz w:val="24"/>
          <w:szCs w:val="24"/>
          <w:rtl/>
        </w:rPr>
        <w:t>אנגלמן</w:t>
      </w:r>
      <w:r w:rsidRPr="003C0B63">
        <w:rPr>
          <w:rFonts w:hint="cs"/>
          <w:sz w:val="24"/>
          <w:szCs w:val="24"/>
          <w:rtl/>
        </w:rPr>
        <w:t xml:space="preserve"> ניתן לסכם כך: </w:t>
      </w:r>
      <w:r w:rsidR="00847C77">
        <w:rPr>
          <w:rFonts w:hint="cs"/>
          <w:sz w:val="24"/>
          <w:szCs w:val="24"/>
          <w:rtl/>
        </w:rPr>
        <w:t xml:space="preserve">הדין הישראלי מאפשר למצווה לעשות שימוש בתניות סילוקין. </w:t>
      </w:r>
      <w:r w:rsidRPr="003C0B63">
        <w:rPr>
          <w:rFonts w:hint="cs"/>
          <w:sz w:val="24"/>
          <w:szCs w:val="24"/>
          <w:rtl/>
        </w:rPr>
        <w:t>תניית סילוקין, כשלעצמה, אינה נוגדת את תקנת הציבור ועל כן בעלת תוקף. עם זאת, בית</w:t>
      </w:r>
      <w:r w:rsidR="00A07392">
        <w:rPr>
          <w:rFonts w:hint="cs"/>
          <w:sz w:val="24"/>
          <w:szCs w:val="24"/>
          <w:rtl/>
        </w:rPr>
        <w:t xml:space="preserve"> </w:t>
      </w:r>
      <w:r w:rsidRPr="003C0B63">
        <w:rPr>
          <w:rFonts w:hint="cs"/>
          <w:sz w:val="24"/>
          <w:szCs w:val="24"/>
          <w:rtl/>
        </w:rPr>
        <w:t>המשפט י</w:t>
      </w:r>
      <w:r w:rsidR="00A07392">
        <w:rPr>
          <w:rFonts w:hint="cs"/>
          <w:sz w:val="24"/>
          <w:szCs w:val="24"/>
          <w:rtl/>
        </w:rPr>
        <w:t>י</w:t>
      </w:r>
      <w:r w:rsidRPr="003C0B63">
        <w:rPr>
          <w:rFonts w:hint="cs"/>
          <w:sz w:val="24"/>
          <w:szCs w:val="24"/>
          <w:rtl/>
        </w:rPr>
        <w:t xml:space="preserve">מנע מהפעלת </w:t>
      </w:r>
      <w:proofErr w:type="spellStart"/>
      <w:r w:rsidRPr="003C0B63">
        <w:rPr>
          <w:rFonts w:hint="cs"/>
          <w:sz w:val="24"/>
          <w:szCs w:val="24"/>
          <w:rtl/>
        </w:rPr>
        <w:t>התנייה</w:t>
      </w:r>
      <w:proofErr w:type="spellEnd"/>
      <w:r w:rsidRPr="003C0B63">
        <w:rPr>
          <w:rFonts w:hint="cs"/>
          <w:sz w:val="24"/>
          <w:szCs w:val="24"/>
          <w:rtl/>
        </w:rPr>
        <w:t xml:space="preserve"> מקום בו התביעה הוגשה בתום לב והיא מבוססת על עילת התנגדות סבירה.</w:t>
      </w:r>
      <w:r w:rsidR="00CB688E">
        <w:rPr>
          <w:rFonts w:hint="cs"/>
          <w:sz w:val="24"/>
          <w:szCs w:val="24"/>
          <w:rtl/>
        </w:rPr>
        <w:t xml:space="preserve"> </w:t>
      </w:r>
      <w:r w:rsidR="00847C77">
        <w:rPr>
          <w:rFonts w:hint="cs"/>
          <w:sz w:val="24"/>
          <w:szCs w:val="24"/>
          <w:rtl/>
        </w:rPr>
        <w:t xml:space="preserve">בכך אימץ בית המשפט העליון את </w:t>
      </w:r>
      <w:r w:rsidR="00CB688E">
        <w:rPr>
          <w:rFonts w:hint="cs"/>
          <w:sz w:val="24"/>
          <w:szCs w:val="24"/>
          <w:rtl/>
        </w:rPr>
        <w:t xml:space="preserve">מודל </w:t>
      </w:r>
      <w:r w:rsidR="001355D0">
        <w:rPr>
          <w:rFonts w:hint="cs"/>
          <w:sz w:val="24"/>
          <w:szCs w:val="24"/>
          <w:rtl/>
        </w:rPr>
        <w:t>ההפעלה המותנית</w:t>
      </w:r>
      <w:r w:rsidR="00CB688E">
        <w:rPr>
          <w:rFonts w:hint="cs"/>
          <w:sz w:val="24"/>
          <w:szCs w:val="24"/>
          <w:rtl/>
        </w:rPr>
        <w:t>.</w:t>
      </w:r>
      <w:r w:rsidR="00444E96">
        <w:rPr>
          <w:rFonts w:hint="cs"/>
          <w:sz w:val="24"/>
          <w:szCs w:val="24"/>
          <w:rtl/>
        </w:rPr>
        <w:t xml:space="preserve"> ודוק: בית המשפט לא דן כלל במודל התוקף המותנה, ובוודאי שלא דחה אותו באופן מפורש. על כן, אין לפרש את הלכת </w:t>
      </w:r>
      <w:r w:rsidR="00444E96">
        <w:rPr>
          <w:rFonts w:hint="cs"/>
          <w:b/>
          <w:bCs/>
          <w:sz w:val="24"/>
          <w:szCs w:val="24"/>
          <w:rtl/>
        </w:rPr>
        <w:t>אנגלמן</w:t>
      </w:r>
      <w:r w:rsidR="00444E96">
        <w:rPr>
          <w:rFonts w:hint="cs"/>
          <w:sz w:val="24"/>
          <w:szCs w:val="24"/>
          <w:rtl/>
        </w:rPr>
        <w:t xml:space="preserve"> כך ש</w:t>
      </w:r>
      <w:r w:rsidR="00444E96">
        <w:rPr>
          <w:rFonts w:hint="cs"/>
          <w:b/>
          <w:bCs/>
          <w:sz w:val="24"/>
          <w:szCs w:val="24"/>
          <w:rtl/>
        </w:rPr>
        <w:t>כל</w:t>
      </w:r>
      <w:r w:rsidR="00444E96">
        <w:rPr>
          <w:rFonts w:hint="cs"/>
          <w:sz w:val="24"/>
          <w:szCs w:val="24"/>
          <w:rtl/>
        </w:rPr>
        <w:t xml:space="preserve"> תניות הסילוקין עומדות במבחן תקנת הציבור ויש לבחון את ה</w:t>
      </w:r>
      <w:r w:rsidR="0023200D">
        <w:rPr>
          <w:rFonts w:hint="cs"/>
          <w:sz w:val="24"/>
          <w:szCs w:val="24"/>
          <w:rtl/>
        </w:rPr>
        <w:t>פעלתן בהתחשב בהתנהלותו של הנהנה. האפשרות לבחון</w:t>
      </w:r>
      <w:r w:rsidR="0089308C">
        <w:rPr>
          <w:rFonts w:hint="cs"/>
          <w:sz w:val="24"/>
          <w:szCs w:val="24"/>
          <w:rtl/>
        </w:rPr>
        <w:t xml:space="preserve"> את תוקפה של תניית סילוקין מסוי</w:t>
      </w:r>
      <w:r w:rsidR="0023200D">
        <w:rPr>
          <w:rFonts w:hint="cs"/>
          <w:sz w:val="24"/>
          <w:szCs w:val="24"/>
          <w:rtl/>
        </w:rPr>
        <w:t>מת במבחן תקנת הציבור נותרה לדעתנו פתוחה.</w:t>
      </w:r>
      <w:r w:rsidR="00444E96">
        <w:rPr>
          <w:rFonts w:hint="cs"/>
          <w:sz w:val="24"/>
          <w:szCs w:val="24"/>
          <w:rtl/>
        </w:rPr>
        <w:t xml:space="preserve"> </w:t>
      </w:r>
      <w:r w:rsidR="00804CC1">
        <w:rPr>
          <w:rFonts w:hint="cs"/>
          <w:sz w:val="24"/>
          <w:szCs w:val="24"/>
          <w:rtl/>
        </w:rPr>
        <w:t xml:space="preserve"> </w:t>
      </w:r>
    </w:p>
    <w:p w14:paraId="6B0E3BC1" w14:textId="241F1988" w:rsidR="009B0778" w:rsidRPr="00D038D0" w:rsidRDefault="00CE7BBB" w:rsidP="00A07392">
      <w:pPr>
        <w:spacing w:line="360" w:lineRule="auto"/>
        <w:ind w:firstLine="720"/>
        <w:jc w:val="both"/>
        <w:rPr>
          <w:sz w:val="24"/>
          <w:szCs w:val="24"/>
          <w:rtl/>
        </w:rPr>
      </w:pPr>
      <w:r w:rsidRPr="00D038D0">
        <w:rPr>
          <w:rFonts w:hint="cs"/>
          <w:sz w:val="24"/>
          <w:szCs w:val="24"/>
          <w:rtl/>
        </w:rPr>
        <w:t xml:space="preserve">יש לציין, כי במקרים ספורים </w:t>
      </w:r>
      <w:r w:rsidR="00A07392">
        <w:rPr>
          <w:rFonts w:hint="cs"/>
          <w:sz w:val="24"/>
          <w:szCs w:val="24"/>
          <w:rtl/>
        </w:rPr>
        <w:t xml:space="preserve">התעוררה </w:t>
      </w:r>
      <w:r w:rsidRPr="00D038D0">
        <w:rPr>
          <w:rFonts w:hint="cs"/>
          <w:sz w:val="24"/>
          <w:szCs w:val="24"/>
          <w:rtl/>
        </w:rPr>
        <w:t xml:space="preserve">בערכאות הדיוניות השאלה מהו הדין במקרה שבו הנהנה הפונה לערכאות נגד הצוואה עושה כן הן על בסיס עילה סבירה </w:t>
      </w:r>
      <w:r w:rsidR="00A07392">
        <w:rPr>
          <w:rFonts w:hint="cs"/>
          <w:sz w:val="24"/>
          <w:szCs w:val="24"/>
          <w:rtl/>
        </w:rPr>
        <w:t>ו</w:t>
      </w:r>
      <w:r w:rsidRPr="00D038D0">
        <w:rPr>
          <w:rFonts w:hint="cs"/>
          <w:sz w:val="24"/>
          <w:szCs w:val="24"/>
          <w:rtl/>
        </w:rPr>
        <w:t>הן על בסיס עילה שאינה סבירה (או כזו הנגועה בחוסר תום לב)? במקרים אלו נקבע</w:t>
      </w:r>
      <w:r w:rsidR="00A07392">
        <w:rPr>
          <w:rFonts w:hint="cs"/>
          <w:sz w:val="24"/>
          <w:szCs w:val="24"/>
          <w:rtl/>
        </w:rPr>
        <w:t>,</w:t>
      </w:r>
      <w:r w:rsidRPr="00D038D0">
        <w:rPr>
          <w:rFonts w:hint="cs"/>
          <w:sz w:val="24"/>
          <w:szCs w:val="24"/>
          <w:rtl/>
        </w:rPr>
        <w:t xml:space="preserve"> בצדק</w:t>
      </w:r>
      <w:r w:rsidR="00A07392">
        <w:rPr>
          <w:rFonts w:hint="cs"/>
          <w:sz w:val="24"/>
          <w:szCs w:val="24"/>
          <w:rtl/>
        </w:rPr>
        <w:t>,</w:t>
      </w:r>
      <w:r w:rsidRPr="00D038D0">
        <w:rPr>
          <w:rFonts w:hint="cs"/>
          <w:sz w:val="24"/>
          <w:szCs w:val="24"/>
          <w:rtl/>
        </w:rPr>
        <w:t xml:space="preserve"> כי העובדה, שבנוסף על העילה המוצדקת מועלית גם טענה חסרת בסיס</w:t>
      </w:r>
      <w:r w:rsidR="00A07392">
        <w:rPr>
          <w:rFonts w:hint="cs"/>
          <w:sz w:val="24"/>
          <w:szCs w:val="24"/>
          <w:rtl/>
        </w:rPr>
        <w:t>,</w:t>
      </w:r>
      <w:r w:rsidRPr="00D038D0">
        <w:rPr>
          <w:rFonts w:hint="cs"/>
          <w:sz w:val="24"/>
          <w:szCs w:val="24"/>
          <w:rtl/>
        </w:rPr>
        <w:t xml:space="preserve"> מעיד</w:t>
      </w:r>
      <w:r w:rsidR="00A07392">
        <w:rPr>
          <w:rFonts w:hint="cs"/>
          <w:sz w:val="24"/>
          <w:szCs w:val="24"/>
          <w:rtl/>
        </w:rPr>
        <w:t>ה</w:t>
      </w:r>
      <w:r w:rsidRPr="00D038D0">
        <w:rPr>
          <w:rFonts w:hint="cs"/>
          <w:sz w:val="24"/>
          <w:szCs w:val="24"/>
          <w:rtl/>
        </w:rPr>
        <w:t xml:space="preserve"> על חוסר תום</w:t>
      </w:r>
      <w:r w:rsidR="00A07392">
        <w:rPr>
          <w:rFonts w:hint="cs"/>
          <w:sz w:val="24"/>
          <w:szCs w:val="24"/>
          <w:rtl/>
        </w:rPr>
        <w:t xml:space="preserve"> </w:t>
      </w:r>
      <w:r w:rsidRPr="00D038D0">
        <w:rPr>
          <w:rFonts w:hint="cs"/>
          <w:sz w:val="24"/>
          <w:szCs w:val="24"/>
          <w:rtl/>
        </w:rPr>
        <w:t>לב ובכך די כדי להפעיל את תניית הסילוקין.</w:t>
      </w:r>
      <w:r>
        <w:rPr>
          <w:sz w:val="24"/>
          <w:szCs w:val="24"/>
          <w:vertAlign w:val="superscript"/>
          <w:rtl/>
        </w:rPr>
        <w:footnoteReference w:id="69"/>
      </w:r>
      <w:r w:rsidRPr="00D038D0">
        <w:rPr>
          <w:rFonts w:hint="cs"/>
          <w:sz w:val="24"/>
          <w:szCs w:val="24"/>
          <w:rtl/>
        </w:rPr>
        <w:t xml:space="preserve"> כך</w:t>
      </w:r>
      <w:r w:rsidR="00A07392">
        <w:rPr>
          <w:rFonts w:hint="cs"/>
          <w:sz w:val="24"/>
          <w:szCs w:val="24"/>
          <w:rtl/>
        </w:rPr>
        <w:t>,</w:t>
      </w:r>
      <w:r w:rsidRPr="00D038D0">
        <w:rPr>
          <w:rFonts w:hint="cs"/>
          <w:sz w:val="24"/>
          <w:szCs w:val="24"/>
          <w:rtl/>
        </w:rPr>
        <w:t xml:space="preserve"> למשל, הטענה העובדתית בדבר זיוף הצוואה והטענה העובדתית בדבר השפעה בלתי הוגנת על המוריש בעת כתיבת הצוואה סותרות אחת את השנייה מבחינה עובדתית ועל</w:t>
      </w:r>
      <w:r w:rsidR="00A07392">
        <w:rPr>
          <w:rFonts w:hint="cs"/>
          <w:sz w:val="24"/>
          <w:szCs w:val="24"/>
          <w:rtl/>
        </w:rPr>
        <w:t xml:space="preserve"> </w:t>
      </w:r>
      <w:r w:rsidRPr="00D038D0">
        <w:rPr>
          <w:rFonts w:hint="cs"/>
          <w:sz w:val="24"/>
          <w:szCs w:val="24"/>
          <w:rtl/>
        </w:rPr>
        <w:t>כן, אין הן יכולות לדור בכפיפה אחת ולהיטען בצורה מבוססת זו לצד זו. טענות בלתי מבוססות נגד הצוואה או כאלו המועלות שלא בתום</w:t>
      </w:r>
      <w:r w:rsidR="00A07392">
        <w:rPr>
          <w:rFonts w:hint="cs"/>
          <w:sz w:val="24"/>
          <w:szCs w:val="24"/>
          <w:rtl/>
        </w:rPr>
        <w:t xml:space="preserve"> </w:t>
      </w:r>
      <w:r w:rsidRPr="00D038D0">
        <w:rPr>
          <w:rFonts w:hint="cs"/>
          <w:sz w:val="24"/>
          <w:szCs w:val="24"/>
          <w:rtl/>
        </w:rPr>
        <w:t>לב מצד הנהנה יגרמו להפעלת תניית הסילוקין ולנישולו של הנהנה מחלקו בצוואה.</w:t>
      </w:r>
    </w:p>
    <w:p w14:paraId="41F27F67" w14:textId="77777777" w:rsidR="009B0778" w:rsidRPr="00D038D0" w:rsidRDefault="009B0778" w:rsidP="0087121F">
      <w:pPr>
        <w:spacing w:line="360" w:lineRule="auto"/>
        <w:ind w:firstLine="567"/>
        <w:jc w:val="both"/>
        <w:rPr>
          <w:sz w:val="24"/>
          <w:szCs w:val="24"/>
          <w:rtl/>
        </w:rPr>
      </w:pPr>
    </w:p>
    <w:p w14:paraId="0F0E7A6C" w14:textId="77777777" w:rsidR="00C9364F" w:rsidRPr="00D038D0" w:rsidRDefault="00C9364F" w:rsidP="00C9364F">
      <w:pPr>
        <w:spacing w:line="360" w:lineRule="auto"/>
        <w:jc w:val="both"/>
        <w:rPr>
          <w:b/>
          <w:bCs/>
          <w:sz w:val="24"/>
          <w:szCs w:val="24"/>
          <w:rtl/>
        </w:rPr>
      </w:pPr>
    </w:p>
    <w:p w14:paraId="397B3935" w14:textId="77777777" w:rsidR="00C9364F" w:rsidRPr="00C9364F" w:rsidRDefault="00CE7BBB" w:rsidP="009B0778">
      <w:pPr>
        <w:spacing w:line="360" w:lineRule="auto"/>
        <w:jc w:val="both"/>
        <w:rPr>
          <w:b/>
          <w:bCs/>
          <w:sz w:val="24"/>
          <w:szCs w:val="24"/>
          <w:rtl/>
        </w:rPr>
      </w:pPr>
      <w:r w:rsidRPr="00D038D0">
        <w:rPr>
          <w:rFonts w:hint="cs"/>
          <w:b/>
          <w:bCs/>
          <w:sz w:val="24"/>
          <w:szCs w:val="24"/>
          <w:rtl/>
        </w:rPr>
        <w:t>6. האבחנה בין תניות סילוקי</w:t>
      </w:r>
      <w:r w:rsidR="009B0778" w:rsidRPr="00D038D0">
        <w:rPr>
          <w:rFonts w:hint="cs"/>
          <w:b/>
          <w:bCs/>
          <w:sz w:val="24"/>
          <w:szCs w:val="24"/>
          <w:rtl/>
        </w:rPr>
        <w:t>ן</w:t>
      </w:r>
      <w:r w:rsidRPr="00D038D0">
        <w:rPr>
          <w:rFonts w:hint="cs"/>
          <w:b/>
          <w:bCs/>
          <w:sz w:val="24"/>
          <w:szCs w:val="24"/>
          <w:rtl/>
        </w:rPr>
        <w:t xml:space="preserve"> צרות לבין תניות סילוקין רחבות</w:t>
      </w:r>
    </w:p>
    <w:p w14:paraId="474E7408" w14:textId="77777777" w:rsidR="00C9364F" w:rsidRPr="00C9364F" w:rsidRDefault="00C9364F" w:rsidP="00C9364F">
      <w:pPr>
        <w:spacing w:line="360" w:lineRule="auto"/>
        <w:jc w:val="both"/>
        <w:rPr>
          <w:b/>
          <w:bCs/>
          <w:sz w:val="24"/>
          <w:szCs w:val="24"/>
          <w:rtl/>
        </w:rPr>
      </w:pPr>
    </w:p>
    <w:p w14:paraId="27C61F37" w14:textId="6BC62B41" w:rsidR="009923F0" w:rsidRPr="003C0B63" w:rsidRDefault="00CE7BBB" w:rsidP="00C9364F">
      <w:pPr>
        <w:spacing w:line="360" w:lineRule="auto"/>
        <w:jc w:val="both"/>
        <w:rPr>
          <w:sz w:val="24"/>
          <w:szCs w:val="24"/>
          <w:rtl/>
        </w:rPr>
      </w:pPr>
      <w:r w:rsidRPr="003C0B63">
        <w:rPr>
          <w:rFonts w:hint="cs"/>
          <w:sz w:val="24"/>
          <w:szCs w:val="24"/>
          <w:rtl/>
        </w:rPr>
        <w:t>תניות הסילוקין אינן עשויות מקשה אחת ומצווה</w:t>
      </w:r>
      <w:r w:rsidRPr="003C0B63">
        <w:rPr>
          <w:rFonts w:hint="cs"/>
          <w:b/>
          <w:bCs/>
          <w:sz w:val="24"/>
          <w:szCs w:val="24"/>
          <w:rtl/>
        </w:rPr>
        <w:t xml:space="preserve"> </w:t>
      </w:r>
      <w:r w:rsidRPr="003C0B63">
        <w:rPr>
          <w:rFonts w:hint="cs"/>
          <w:sz w:val="24"/>
          <w:szCs w:val="24"/>
          <w:rtl/>
        </w:rPr>
        <w:t xml:space="preserve">הקובע בצוואתו תניית סילוקין יכול לקבוע את היקפה, על ידי אופן ניסוחה וקביעת התנאים לתחולתה. את תניות הסילוקין השונות ניתן </w:t>
      </w:r>
      <w:r w:rsidR="003C0B63">
        <w:rPr>
          <w:rFonts w:hint="cs"/>
          <w:sz w:val="24"/>
          <w:szCs w:val="24"/>
          <w:rtl/>
        </w:rPr>
        <w:t xml:space="preserve">לסווג </w:t>
      </w:r>
      <w:r w:rsidRPr="003C0B63">
        <w:rPr>
          <w:rFonts w:hint="cs"/>
          <w:sz w:val="24"/>
          <w:szCs w:val="24"/>
          <w:rtl/>
        </w:rPr>
        <w:t>לשתי קבוצות:</w:t>
      </w:r>
      <w:r w:rsidR="00D8171A">
        <w:rPr>
          <w:rFonts w:hint="cs"/>
          <w:sz w:val="24"/>
          <w:szCs w:val="24"/>
          <w:rtl/>
        </w:rPr>
        <w:t xml:space="preserve"> </w:t>
      </w:r>
      <w:r w:rsidRPr="00D8171A">
        <w:rPr>
          <w:rFonts w:hint="cs"/>
          <w:b/>
          <w:bCs/>
          <w:sz w:val="24"/>
          <w:szCs w:val="24"/>
          <w:rtl/>
        </w:rPr>
        <w:t>תניות סילוקין צרות</w:t>
      </w:r>
      <w:r w:rsidRPr="003C0B63">
        <w:rPr>
          <w:rFonts w:hint="cs"/>
          <w:sz w:val="24"/>
          <w:szCs w:val="24"/>
          <w:rtl/>
        </w:rPr>
        <w:t xml:space="preserve"> - תנייה בצוואה הקובעת כי זוכה שיתנגד לתוקפה או לביצועה של הצוואה יסולק מחלקו. תנייה זו עשויה להיות מנוסחת כך שתכלול גם התנגדות לקיום הצוואה בעילה שאינה נכללת בחוק הירושה ושאינה מכוונת כלפי כושרו של המצווה או תוקפה של הצוואה.</w:t>
      </w:r>
      <w:bookmarkStart w:id="15" w:name="_Ref497726525"/>
      <w:r>
        <w:rPr>
          <w:rStyle w:val="a3"/>
          <w:sz w:val="24"/>
          <w:szCs w:val="24"/>
          <w:rtl/>
        </w:rPr>
        <w:footnoteReference w:id="70"/>
      </w:r>
      <w:bookmarkEnd w:id="15"/>
      <w:r w:rsidRPr="003C0B63">
        <w:rPr>
          <w:rFonts w:hint="cs"/>
          <w:sz w:val="24"/>
          <w:szCs w:val="24"/>
          <w:rtl/>
        </w:rPr>
        <w:t xml:space="preserve"> דוגמה לכך היא תביעה כנגד מסת הנכסים בעיזבון שעשויה לצמצם את היקפו</w:t>
      </w:r>
      <w:bookmarkStart w:id="16" w:name="_Ref499206444"/>
      <w:r w:rsidR="00D8171A">
        <w:rPr>
          <w:rFonts w:hint="cs"/>
          <w:sz w:val="24"/>
          <w:szCs w:val="24"/>
          <w:rtl/>
        </w:rPr>
        <w:t>.</w:t>
      </w:r>
      <w:r>
        <w:rPr>
          <w:rStyle w:val="a3"/>
          <w:sz w:val="24"/>
          <w:szCs w:val="24"/>
          <w:rtl/>
        </w:rPr>
        <w:footnoteReference w:id="71"/>
      </w:r>
      <w:bookmarkEnd w:id="16"/>
      <w:r w:rsidR="00D8171A">
        <w:rPr>
          <w:rFonts w:hint="cs"/>
          <w:sz w:val="24"/>
          <w:szCs w:val="24"/>
          <w:rtl/>
        </w:rPr>
        <w:t xml:space="preserve"> </w:t>
      </w:r>
      <w:r w:rsidRPr="00D8171A">
        <w:rPr>
          <w:rFonts w:hint="cs"/>
          <w:b/>
          <w:bCs/>
          <w:sz w:val="24"/>
          <w:szCs w:val="24"/>
          <w:rtl/>
        </w:rPr>
        <w:t>תניות סילוקין רחבות</w:t>
      </w:r>
      <w:r w:rsidRPr="003C0B63">
        <w:rPr>
          <w:rFonts w:hint="cs"/>
          <w:sz w:val="24"/>
          <w:szCs w:val="24"/>
          <w:rtl/>
        </w:rPr>
        <w:t xml:space="preserve"> - תנייה בצוואה הקובעת כי יורש אשר יגיש תביעה כנגד </w:t>
      </w:r>
      <w:r w:rsidRPr="003C0B63">
        <w:rPr>
          <w:rFonts w:hint="cs"/>
          <w:b/>
          <w:bCs/>
          <w:sz w:val="24"/>
          <w:szCs w:val="24"/>
          <w:rtl/>
        </w:rPr>
        <w:t>יורש אחר</w:t>
      </w:r>
      <w:r w:rsidRPr="003C0B63">
        <w:rPr>
          <w:rFonts w:hint="cs"/>
          <w:sz w:val="24"/>
          <w:szCs w:val="24"/>
          <w:rtl/>
        </w:rPr>
        <w:t xml:space="preserve"> (או כנגד צד שלישי), אף במנותק משאלת הזכאות לפי הצוואה ומשאלת תוקפה העצמאי, יאבד את חלקו בצוואה.</w:t>
      </w:r>
      <w:r>
        <w:rPr>
          <w:rStyle w:val="a3"/>
          <w:sz w:val="24"/>
          <w:szCs w:val="24"/>
          <w:rtl/>
        </w:rPr>
        <w:footnoteReference w:id="72"/>
      </w:r>
      <w:r w:rsidRPr="003C0B63">
        <w:rPr>
          <w:rFonts w:hint="cs"/>
          <w:sz w:val="24"/>
          <w:szCs w:val="24"/>
          <w:rtl/>
        </w:rPr>
        <w:t xml:space="preserve">  </w:t>
      </w:r>
    </w:p>
    <w:p w14:paraId="271CF729" w14:textId="5EC5D24F" w:rsidR="009923F0" w:rsidRPr="003C0B63" w:rsidRDefault="00CE7BBB" w:rsidP="00D8171A">
      <w:pPr>
        <w:spacing w:line="360" w:lineRule="auto"/>
        <w:ind w:firstLine="567"/>
        <w:jc w:val="both"/>
        <w:rPr>
          <w:sz w:val="24"/>
          <w:szCs w:val="24"/>
          <w:rtl/>
        </w:rPr>
      </w:pPr>
      <w:r w:rsidRPr="003C0B63">
        <w:rPr>
          <w:rFonts w:hint="cs"/>
          <w:sz w:val="24"/>
          <w:szCs w:val="24"/>
          <w:rtl/>
        </w:rPr>
        <w:t xml:space="preserve">תניית הסילוקין שנדונה </w:t>
      </w:r>
      <w:r w:rsidR="00EB27BE" w:rsidRPr="003C0B63">
        <w:rPr>
          <w:rFonts w:hint="cs"/>
          <w:sz w:val="24"/>
          <w:szCs w:val="24"/>
          <w:rtl/>
        </w:rPr>
        <w:t>בפרשת</w:t>
      </w:r>
      <w:r w:rsidRPr="003C0B63">
        <w:rPr>
          <w:rFonts w:hint="cs"/>
          <w:sz w:val="24"/>
          <w:szCs w:val="24"/>
          <w:rtl/>
        </w:rPr>
        <w:t xml:space="preserve"> </w:t>
      </w:r>
      <w:r w:rsidRPr="003C0B63">
        <w:rPr>
          <w:rFonts w:hint="cs"/>
          <w:b/>
          <w:bCs/>
          <w:sz w:val="24"/>
          <w:szCs w:val="24"/>
          <w:rtl/>
        </w:rPr>
        <w:t>אנגלמן</w:t>
      </w:r>
      <w:r w:rsidRPr="003C0B63">
        <w:rPr>
          <w:rFonts w:hint="cs"/>
          <w:sz w:val="24"/>
          <w:szCs w:val="24"/>
          <w:rtl/>
        </w:rPr>
        <w:t xml:space="preserve"> השתייכה לקבוצת תניות הסילוקין הצרות</w:t>
      </w:r>
      <w:r w:rsidR="00F3502C" w:rsidRPr="003C0B63">
        <w:rPr>
          <w:rFonts w:hint="cs"/>
          <w:sz w:val="24"/>
          <w:szCs w:val="24"/>
          <w:rtl/>
        </w:rPr>
        <w:t xml:space="preserve"> שכן מטרתה הייתה למנוע את האפשרות שביתה של המצווה תתנגד לקיום הצוואה. </w:t>
      </w:r>
      <w:r w:rsidR="00804CC1">
        <w:rPr>
          <w:rFonts w:hint="cs"/>
          <w:sz w:val="24"/>
          <w:szCs w:val="24"/>
          <w:rtl/>
        </w:rPr>
        <w:t xml:space="preserve">תוקפה ומשמעותה של </w:t>
      </w:r>
      <w:r w:rsidRPr="003C0B63">
        <w:rPr>
          <w:rFonts w:hint="cs"/>
          <w:sz w:val="24"/>
          <w:szCs w:val="24"/>
          <w:rtl/>
        </w:rPr>
        <w:t>תני</w:t>
      </w:r>
      <w:r w:rsidR="00804CC1">
        <w:rPr>
          <w:rFonts w:hint="cs"/>
          <w:sz w:val="24"/>
          <w:szCs w:val="24"/>
          <w:rtl/>
        </w:rPr>
        <w:t>י</w:t>
      </w:r>
      <w:r w:rsidRPr="003C0B63">
        <w:rPr>
          <w:rFonts w:hint="cs"/>
          <w:sz w:val="24"/>
          <w:szCs w:val="24"/>
          <w:rtl/>
        </w:rPr>
        <w:t>ת סילוקין</w:t>
      </w:r>
      <w:r w:rsidR="00804CC1">
        <w:rPr>
          <w:rFonts w:hint="cs"/>
          <w:sz w:val="24"/>
          <w:szCs w:val="24"/>
          <w:rtl/>
        </w:rPr>
        <w:t xml:space="preserve"> צרה</w:t>
      </w:r>
      <w:r w:rsidRPr="003C0B63">
        <w:rPr>
          <w:rFonts w:hint="cs"/>
          <w:sz w:val="24"/>
          <w:szCs w:val="24"/>
          <w:rtl/>
        </w:rPr>
        <w:t xml:space="preserve"> נדונה </w:t>
      </w:r>
      <w:r w:rsidRPr="003C0B63">
        <w:rPr>
          <w:sz w:val="24"/>
          <w:szCs w:val="24"/>
          <w:rtl/>
        </w:rPr>
        <w:t>מספר שנים לאחר</w:t>
      </w:r>
      <w:r w:rsidRPr="003C0B63">
        <w:rPr>
          <w:rFonts w:hint="cs"/>
          <w:sz w:val="24"/>
          <w:szCs w:val="24"/>
          <w:rtl/>
        </w:rPr>
        <w:t xml:space="preserve"> פרשת </w:t>
      </w:r>
      <w:r w:rsidRPr="003C0B63">
        <w:rPr>
          <w:rFonts w:hint="cs"/>
          <w:b/>
          <w:bCs/>
          <w:sz w:val="24"/>
          <w:szCs w:val="24"/>
          <w:rtl/>
        </w:rPr>
        <w:t>אנגלמן</w:t>
      </w:r>
      <w:r w:rsidRPr="003C0B63">
        <w:rPr>
          <w:sz w:val="24"/>
          <w:szCs w:val="24"/>
          <w:rtl/>
        </w:rPr>
        <w:t xml:space="preserve"> בפרשת </w:t>
      </w:r>
      <w:r w:rsidRPr="003C0B63">
        <w:rPr>
          <w:b/>
          <w:bCs/>
          <w:sz w:val="24"/>
          <w:szCs w:val="24"/>
          <w:rtl/>
        </w:rPr>
        <w:t>יונה</w:t>
      </w:r>
      <w:r w:rsidR="00804CC1" w:rsidRPr="0087121F">
        <w:rPr>
          <w:sz w:val="24"/>
          <w:szCs w:val="24"/>
          <w:rtl/>
        </w:rPr>
        <w:t>.</w:t>
      </w:r>
      <w:bookmarkStart w:id="17" w:name="_Ref497719767"/>
      <w:r>
        <w:rPr>
          <w:rStyle w:val="a3"/>
          <w:sz w:val="24"/>
          <w:szCs w:val="24"/>
          <w:rtl/>
        </w:rPr>
        <w:footnoteReference w:id="73"/>
      </w:r>
      <w:bookmarkEnd w:id="17"/>
      <w:r w:rsidRPr="003C0B63">
        <w:rPr>
          <w:rFonts w:hint="cs"/>
          <w:b/>
          <w:bCs/>
          <w:sz w:val="24"/>
          <w:szCs w:val="24"/>
          <w:rtl/>
        </w:rPr>
        <w:t xml:space="preserve"> </w:t>
      </w:r>
      <w:r w:rsidR="00E50F38">
        <w:rPr>
          <w:rFonts w:hint="cs"/>
          <w:sz w:val="24"/>
          <w:szCs w:val="24"/>
          <w:rtl/>
        </w:rPr>
        <w:t>במקרה זה</w:t>
      </w:r>
      <w:r w:rsidR="00A459A8">
        <w:rPr>
          <w:rFonts w:hint="cs"/>
          <w:sz w:val="24"/>
          <w:szCs w:val="24"/>
          <w:rtl/>
        </w:rPr>
        <w:t>,</w:t>
      </w:r>
      <w:r w:rsidR="00E50F38">
        <w:rPr>
          <w:rFonts w:hint="cs"/>
          <w:sz w:val="24"/>
          <w:szCs w:val="24"/>
          <w:rtl/>
        </w:rPr>
        <w:t xml:space="preserve"> </w:t>
      </w:r>
      <w:r w:rsidRPr="003C0B63">
        <w:rPr>
          <w:rFonts w:hint="cs"/>
          <w:sz w:val="24"/>
          <w:szCs w:val="24"/>
          <w:rtl/>
        </w:rPr>
        <w:t>המוריש ציווה את רכושו לילדיו ולמי שהייתה הידועה בציבור</w:t>
      </w:r>
      <w:r w:rsidRPr="003C0B63">
        <w:rPr>
          <w:rFonts w:hint="cs"/>
          <w:b/>
          <w:bCs/>
          <w:sz w:val="24"/>
          <w:szCs w:val="24"/>
          <w:rtl/>
        </w:rPr>
        <w:t xml:space="preserve"> </w:t>
      </w:r>
      <w:r w:rsidRPr="003C0B63">
        <w:rPr>
          <w:rFonts w:hint="cs"/>
          <w:sz w:val="24"/>
          <w:szCs w:val="24"/>
          <w:rtl/>
        </w:rPr>
        <w:t xml:space="preserve">שלו, ואילו </w:t>
      </w:r>
      <w:r w:rsidR="00E50F38">
        <w:rPr>
          <w:rFonts w:hint="cs"/>
          <w:sz w:val="24"/>
          <w:szCs w:val="24"/>
          <w:rtl/>
        </w:rPr>
        <w:t>ל</w:t>
      </w:r>
      <w:r w:rsidRPr="003C0B63">
        <w:rPr>
          <w:rFonts w:hint="cs"/>
          <w:sz w:val="24"/>
          <w:szCs w:val="24"/>
          <w:rtl/>
        </w:rPr>
        <w:t xml:space="preserve">אלמנתו לא </w:t>
      </w:r>
      <w:r w:rsidR="00E50F38">
        <w:rPr>
          <w:rFonts w:hint="cs"/>
          <w:sz w:val="24"/>
          <w:szCs w:val="24"/>
          <w:rtl/>
        </w:rPr>
        <w:t>ציווה דבר</w:t>
      </w:r>
      <w:r w:rsidRPr="003C0B63">
        <w:rPr>
          <w:rFonts w:hint="cs"/>
          <w:sz w:val="24"/>
          <w:szCs w:val="24"/>
          <w:rtl/>
        </w:rPr>
        <w:t>.</w:t>
      </w:r>
      <w:r w:rsidRPr="003C0B63">
        <w:rPr>
          <w:b/>
          <w:bCs/>
          <w:sz w:val="24"/>
          <w:szCs w:val="24"/>
          <w:rtl/>
        </w:rPr>
        <w:t xml:space="preserve"> </w:t>
      </w:r>
      <w:r w:rsidRPr="003C0B63">
        <w:rPr>
          <w:rFonts w:hint="cs"/>
          <w:sz w:val="24"/>
          <w:szCs w:val="24"/>
          <w:rtl/>
        </w:rPr>
        <w:t>בצוואתו נכללה תניית סילוקין צרה,</w:t>
      </w:r>
      <w:r>
        <w:rPr>
          <w:rStyle w:val="a3"/>
          <w:sz w:val="24"/>
          <w:szCs w:val="24"/>
          <w:rtl/>
        </w:rPr>
        <w:footnoteReference w:id="74"/>
      </w:r>
      <w:r w:rsidRPr="003C0B63">
        <w:rPr>
          <w:rFonts w:hint="cs"/>
          <w:sz w:val="24"/>
          <w:szCs w:val="24"/>
          <w:rtl/>
        </w:rPr>
        <w:t xml:space="preserve"> אשר קבעה</w:t>
      </w:r>
      <w:r w:rsidRPr="003C0B63">
        <w:rPr>
          <w:sz w:val="24"/>
          <w:szCs w:val="24"/>
          <w:rtl/>
        </w:rPr>
        <w:t xml:space="preserve"> כדלקמן:</w:t>
      </w:r>
    </w:p>
    <w:p w14:paraId="2709E570" w14:textId="77777777" w:rsidR="009923F0" w:rsidRPr="003C0B63" w:rsidRDefault="009923F0" w:rsidP="009923F0">
      <w:pPr>
        <w:spacing w:line="360" w:lineRule="auto"/>
        <w:jc w:val="both"/>
        <w:rPr>
          <w:sz w:val="24"/>
          <w:szCs w:val="24"/>
          <w:rtl/>
        </w:rPr>
      </w:pPr>
    </w:p>
    <w:p w14:paraId="41B3CAC3" w14:textId="77777777" w:rsidR="009923F0" w:rsidRPr="003C0B63" w:rsidRDefault="00CE7BBB" w:rsidP="0016365A">
      <w:pPr>
        <w:spacing w:line="360" w:lineRule="auto"/>
        <w:ind w:left="720" w:right="720"/>
        <w:jc w:val="both"/>
        <w:rPr>
          <w:sz w:val="24"/>
          <w:szCs w:val="24"/>
          <w:rtl/>
        </w:rPr>
      </w:pPr>
      <w:r w:rsidRPr="003C0B63">
        <w:rPr>
          <w:sz w:val="24"/>
          <w:szCs w:val="24"/>
          <w:rtl/>
        </w:rPr>
        <w:t xml:space="preserve">"כל מי שיתנגד לקיום צוואתי או לביצועה </w:t>
      </w:r>
      <w:r w:rsidRPr="003C0B63">
        <w:rPr>
          <w:b/>
          <w:bCs/>
          <w:sz w:val="24"/>
          <w:szCs w:val="24"/>
          <w:rtl/>
        </w:rPr>
        <w:t>מנימוק כלשהו</w:t>
      </w:r>
      <w:r w:rsidRPr="003C0B63">
        <w:rPr>
          <w:sz w:val="24"/>
          <w:szCs w:val="24"/>
          <w:rtl/>
        </w:rPr>
        <w:t xml:space="preserve"> - יאבד אוטומטית את כל זכויותיו על פי צוואתי זו, ולא יקבל דבר".</w:t>
      </w:r>
      <w:r w:rsidRPr="003C0B63">
        <w:rPr>
          <w:rFonts w:hint="cs"/>
          <w:sz w:val="24"/>
          <w:szCs w:val="24"/>
          <w:rtl/>
        </w:rPr>
        <w:t xml:space="preserve"> </w:t>
      </w:r>
      <w:r w:rsidR="0016365A">
        <w:rPr>
          <w:rFonts w:hint="cs"/>
          <w:sz w:val="24"/>
          <w:szCs w:val="24"/>
          <w:rtl/>
        </w:rPr>
        <w:tab/>
      </w:r>
      <w:r w:rsidR="0016365A">
        <w:rPr>
          <w:rFonts w:hint="cs"/>
          <w:sz w:val="24"/>
          <w:szCs w:val="24"/>
          <w:rtl/>
        </w:rPr>
        <w:tab/>
        <w:t xml:space="preserve">      </w:t>
      </w:r>
      <w:r w:rsidRPr="003C0B63">
        <w:rPr>
          <w:rFonts w:hint="cs"/>
          <w:sz w:val="24"/>
          <w:szCs w:val="24"/>
          <w:rtl/>
        </w:rPr>
        <w:t>(ההדגשה הוספה)</w:t>
      </w:r>
    </w:p>
    <w:p w14:paraId="297662D9" w14:textId="77777777" w:rsidR="009923F0" w:rsidRPr="003C0B63" w:rsidRDefault="009923F0" w:rsidP="009923F0">
      <w:pPr>
        <w:spacing w:line="360" w:lineRule="auto"/>
        <w:jc w:val="both"/>
        <w:rPr>
          <w:sz w:val="24"/>
          <w:szCs w:val="24"/>
          <w:rtl/>
        </w:rPr>
      </w:pPr>
    </w:p>
    <w:p w14:paraId="3DBAE7AA" w14:textId="53AC2589" w:rsidR="009923F0" w:rsidRPr="003C0B63" w:rsidRDefault="00CE7BBB" w:rsidP="00A459A8">
      <w:pPr>
        <w:spacing w:line="360" w:lineRule="auto"/>
        <w:jc w:val="both"/>
        <w:rPr>
          <w:sz w:val="24"/>
          <w:szCs w:val="24"/>
          <w:rtl/>
        </w:rPr>
      </w:pPr>
      <w:r w:rsidRPr="003C0B63">
        <w:rPr>
          <w:rFonts w:hint="cs"/>
          <w:sz w:val="24"/>
          <w:szCs w:val="24"/>
          <w:rtl/>
        </w:rPr>
        <w:t xml:space="preserve">התביעה בעניין </w:t>
      </w:r>
      <w:r w:rsidRPr="003C0B63">
        <w:rPr>
          <w:rFonts w:hint="cs"/>
          <w:b/>
          <w:bCs/>
          <w:sz w:val="24"/>
          <w:szCs w:val="24"/>
          <w:rtl/>
        </w:rPr>
        <w:t>יונה</w:t>
      </w:r>
      <w:r w:rsidRPr="003C0B63">
        <w:rPr>
          <w:rFonts w:hint="cs"/>
          <w:sz w:val="24"/>
          <w:szCs w:val="24"/>
          <w:rtl/>
        </w:rPr>
        <w:t xml:space="preserve"> הוגשה על</w:t>
      </w:r>
      <w:r w:rsidR="00A459A8">
        <w:rPr>
          <w:rFonts w:hint="cs"/>
          <w:sz w:val="24"/>
          <w:szCs w:val="24"/>
          <w:rtl/>
        </w:rPr>
        <w:t xml:space="preserve"> </w:t>
      </w:r>
      <w:r w:rsidRPr="003C0B63">
        <w:rPr>
          <w:rFonts w:hint="cs"/>
          <w:sz w:val="24"/>
          <w:szCs w:val="24"/>
          <w:rtl/>
        </w:rPr>
        <w:t>ידי אלמנתו של המוריש, שממילא לא נכללה בצוואה ולכן לא נרתעה מקיומה של התנייה. האלמנה פנתה לבית</w:t>
      </w:r>
      <w:r w:rsidR="00A459A8">
        <w:rPr>
          <w:rFonts w:hint="cs"/>
          <w:sz w:val="24"/>
          <w:szCs w:val="24"/>
          <w:rtl/>
        </w:rPr>
        <w:t xml:space="preserve"> </w:t>
      </w:r>
      <w:r w:rsidRPr="003C0B63">
        <w:rPr>
          <w:rFonts w:hint="cs"/>
          <w:sz w:val="24"/>
          <w:szCs w:val="24"/>
          <w:rtl/>
        </w:rPr>
        <w:t>המשפט על</w:t>
      </w:r>
      <w:r w:rsidR="00A459A8">
        <w:rPr>
          <w:rFonts w:hint="cs"/>
          <w:sz w:val="24"/>
          <w:szCs w:val="24"/>
          <w:rtl/>
        </w:rPr>
        <w:t xml:space="preserve"> </w:t>
      </w:r>
      <w:r w:rsidRPr="003C0B63">
        <w:rPr>
          <w:rFonts w:hint="cs"/>
          <w:sz w:val="24"/>
          <w:szCs w:val="24"/>
          <w:rtl/>
        </w:rPr>
        <w:t>מנת שיצהיר כי מחצית מן הרכוש הכלול בעיזבון מגיע</w:t>
      </w:r>
      <w:r w:rsidR="00A459A8">
        <w:rPr>
          <w:rFonts w:hint="cs"/>
          <w:sz w:val="24"/>
          <w:szCs w:val="24"/>
          <w:rtl/>
        </w:rPr>
        <w:t>ה</w:t>
      </w:r>
      <w:r w:rsidRPr="003C0B63">
        <w:rPr>
          <w:rFonts w:hint="cs"/>
          <w:sz w:val="24"/>
          <w:szCs w:val="24"/>
          <w:rtl/>
        </w:rPr>
        <w:t xml:space="preserve"> לה מכוח "הלכת השיתוף" החלה על בני</w:t>
      </w:r>
      <w:r w:rsidR="00A459A8">
        <w:rPr>
          <w:rFonts w:hint="cs"/>
          <w:sz w:val="24"/>
          <w:szCs w:val="24"/>
          <w:rtl/>
        </w:rPr>
        <w:t xml:space="preserve"> </w:t>
      </w:r>
      <w:r w:rsidRPr="003C0B63">
        <w:rPr>
          <w:rFonts w:hint="cs"/>
          <w:sz w:val="24"/>
          <w:szCs w:val="24"/>
          <w:rtl/>
        </w:rPr>
        <w:t>זוג,</w:t>
      </w:r>
      <w:r>
        <w:rPr>
          <w:rStyle w:val="a3"/>
          <w:sz w:val="24"/>
          <w:szCs w:val="24"/>
          <w:rtl/>
        </w:rPr>
        <w:footnoteReference w:id="75"/>
      </w:r>
      <w:r w:rsidRPr="003C0B63">
        <w:rPr>
          <w:rFonts w:hint="cs"/>
          <w:sz w:val="24"/>
          <w:szCs w:val="24"/>
          <w:rtl/>
        </w:rPr>
        <w:t xml:space="preserve"> ולמעשה תקפה את מסת הנכסים של העיזבון ולא את תוקפה של הצוואה. בניו של המוריש, הנתבעים בהליך שיזמה האלמנה, פנו לבית המשפט לקבלת פסק דין הצהרתי לפיו התנהלותם כנתבעים פורמליים לא תהווה התנגדות שתפעיל את תניית הסילוקין.</w:t>
      </w:r>
      <w:r>
        <w:rPr>
          <w:rStyle w:val="a3"/>
          <w:sz w:val="24"/>
          <w:szCs w:val="24"/>
          <w:rtl/>
        </w:rPr>
        <w:footnoteReference w:id="76"/>
      </w:r>
      <w:r w:rsidRPr="003C0B63">
        <w:rPr>
          <w:rFonts w:hint="cs"/>
          <w:sz w:val="24"/>
          <w:szCs w:val="24"/>
          <w:rtl/>
        </w:rPr>
        <w:t xml:space="preserve"> השופט (כתוארו אז) גורן </w:t>
      </w:r>
      <w:r w:rsidR="00E45BFF">
        <w:rPr>
          <w:rFonts w:hint="cs"/>
          <w:sz w:val="24"/>
          <w:szCs w:val="24"/>
          <w:rtl/>
        </w:rPr>
        <w:t xml:space="preserve">בבית המשפט המחוזי בתל אביב </w:t>
      </w:r>
      <w:r w:rsidRPr="003C0B63">
        <w:rPr>
          <w:rFonts w:hint="cs"/>
          <w:sz w:val="24"/>
          <w:szCs w:val="24"/>
          <w:rtl/>
        </w:rPr>
        <w:t>נענה לפנייתם והצהיר כי עמדתם אינה מהווה התנגדות לקיום הצוואה או לביצועה.</w:t>
      </w:r>
      <w:r>
        <w:rPr>
          <w:rStyle w:val="a3"/>
          <w:sz w:val="24"/>
          <w:szCs w:val="24"/>
          <w:rtl/>
        </w:rPr>
        <w:footnoteReference w:id="77"/>
      </w:r>
      <w:r w:rsidRPr="003C0B63">
        <w:rPr>
          <w:rFonts w:hint="cs"/>
          <w:sz w:val="24"/>
          <w:szCs w:val="24"/>
          <w:rtl/>
        </w:rPr>
        <w:t xml:space="preserve"> השופט גורן נימק קביעה זו באמצעות אבחנה בין תביעה שעניינה קיום או התנגדות לצוואה לבין תביעה </w:t>
      </w:r>
      <w:r w:rsidR="00E45BFF">
        <w:rPr>
          <w:rFonts w:hint="cs"/>
          <w:sz w:val="24"/>
          <w:szCs w:val="24"/>
          <w:rtl/>
        </w:rPr>
        <w:t xml:space="preserve">המכוונת כנגד </w:t>
      </w:r>
      <w:r w:rsidRPr="003C0B63">
        <w:rPr>
          <w:rFonts w:hint="cs"/>
          <w:sz w:val="24"/>
          <w:szCs w:val="24"/>
          <w:rtl/>
        </w:rPr>
        <w:t>מסת הנכסים הכלולים בעיזבון.</w:t>
      </w:r>
      <w:r>
        <w:rPr>
          <w:rStyle w:val="a3"/>
          <w:sz w:val="24"/>
          <w:szCs w:val="24"/>
          <w:rtl/>
        </w:rPr>
        <w:footnoteReference w:id="78"/>
      </w:r>
    </w:p>
    <w:p w14:paraId="50500859" w14:textId="39E5C4B3" w:rsidR="0067104A" w:rsidRDefault="00CE7BBB" w:rsidP="008B7B7B">
      <w:pPr>
        <w:spacing w:line="360" w:lineRule="auto"/>
        <w:jc w:val="both"/>
        <w:rPr>
          <w:sz w:val="24"/>
          <w:szCs w:val="24"/>
          <w:rtl/>
        </w:rPr>
      </w:pPr>
      <w:r w:rsidRPr="003C0B63">
        <w:rPr>
          <w:rFonts w:hint="cs"/>
          <w:sz w:val="24"/>
          <w:szCs w:val="24"/>
          <w:rtl/>
        </w:rPr>
        <w:t xml:space="preserve"> </w:t>
      </w:r>
      <w:r w:rsidR="00A02CE7" w:rsidRPr="003C0B63">
        <w:rPr>
          <w:rFonts w:hint="cs"/>
          <w:sz w:val="24"/>
          <w:szCs w:val="24"/>
          <w:rtl/>
        </w:rPr>
        <w:tab/>
      </w:r>
      <w:r w:rsidRPr="003C0B63">
        <w:rPr>
          <w:rFonts w:hint="cs"/>
          <w:sz w:val="24"/>
          <w:szCs w:val="24"/>
          <w:rtl/>
        </w:rPr>
        <w:t>על פסק דינו של בית</w:t>
      </w:r>
      <w:r w:rsidR="005E18AA">
        <w:rPr>
          <w:rFonts w:hint="cs"/>
          <w:sz w:val="24"/>
          <w:szCs w:val="24"/>
          <w:rtl/>
        </w:rPr>
        <w:t xml:space="preserve"> </w:t>
      </w:r>
      <w:r w:rsidRPr="003C0B63">
        <w:rPr>
          <w:rFonts w:hint="cs"/>
          <w:sz w:val="24"/>
          <w:szCs w:val="24"/>
          <w:rtl/>
        </w:rPr>
        <w:t xml:space="preserve">המשפט המחוזי הוגש ערעור לבית המשפט העליון. בפסק הדין דחתה </w:t>
      </w:r>
      <w:r w:rsidRPr="003C0B63">
        <w:rPr>
          <w:sz w:val="24"/>
          <w:szCs w:val="24"/>
          <w:rtl/>
        </w:rPr>
        <w:t>השופטת שטרסברג-כהן</w:t>
      </w:r>
      <w:r>
        <w:rPr>
          <w:rStyle w:val="a3"/>
          <w:sz w:val="24"/>
          <w:szCs w:val="24"/>
          <w:rtl/>
        </w:rPr>
        <w:footnoteReference w:id="79"/>
      </w:r>
      <w:r w:rsidRPr="003C0B63">
        <w:rPr>
          <w:rFonts w:hint="cs"/>
          <w:sz w:val="24"/>
          <w:szCs w:val="24"/>
          <w:rtl/>
        </w:rPr>
        <w:t xml:space="preserve"> את עמדתו של השופט גורן וקבעה כי, באופן כללי, גם תביעה כנגד היקף מסת הנכסים עשויה להוות התנגדות לקיום הצוואה.</w:t>
      </w:r>
      <w:r>
        <w:rPr>
          <w:rStyle w:val="a3"/>
          <w:sz w:val="24"/>
          <w:szCs w:val="24"/>
          <w:rtl/>
        </w:rPr>
        <w:footnoteReference w:id="80"/>
      </w:r>
      <w:r w:rsidRPr="003C0B63">
        <w:rPr>
          <w:sz w:val="24"/>
          <w:szCs w:val="24"/>
          <w:rtl/>
        </w:rPr>
        <w:t xml:space="preserve"> </w:t>
      </w:r>
      <w:r w:rsidR="00E45BFF">
        <w:rPr>
          <w:rFonts w:hint="cs"/>
          <w:sz w:val="24"/>
          <w:szCs w:val="24"/>
          <w:rtl/>
        </w:rPr>
        <w:t xml:space="preserve">עם זאת, בהתבסס על </w:t>
      </w:r>
      <w:r w:rsidR="00E45BFF" w:rsidRPr="0087121F">
        <w:rPr>
          <w:rFonts w:hint="eastAsia"/>
          <w:b/>
          <w:bCs/>
          <w:sz w:val="24"/>
          <w:szCs w:val="24"/>
          <w:rtl/>
        </w:rPr>
        <w:t>הלכת</w:t>
      </w:r>
      <w:r w:rsidR="00E45BFF" w:rsidRPr="0087121F">
        <w:rPr>
          <w:b/>
          <w:bCs/>
          <w:sz w:val="24"/>
          <w:szCs w:val="24"/>
          <w:rtl/>
        </w:rPr>
        <w:t xml:space="preserve"> </w:t>
      </w:r>
      <w:r w:rsidR="00E45BFF" w:rsidRPr="0087121F">
        <w:rPr>
          <w:rFonts w:hint="eastAsia"/>
          <w:b/>
          <w:bCs/>
          <w:sz w:val="24"/>
          <w:szCs w:val="24"/>
          <w:rtl/>
        </w:rPr>
        <w:t>אנגלמן</w:t>
      </w:r>
      <w:r w:rsidR="00E45BFF" w:rsidRPr="0087121F">
        <w:rPr>
          <w:sz w:val="24"/>
          <w:szCs w:val="24"/>
          <w:rtl/>
        </w:rPr>
        <w:t>,</w:t>
      </w:r>
      <w:r w:rsidR="00E45BFF">
        <w:rPr>
          <w:rFonts w:hint="cs"/>
          <w:sz w:val="24"/>
          <w:szCs w:val="24"/>
          <w:rtl/>
        </w:rPr>
        <w:t xml:space="preserve"> קבע </w:t>
      </w:r>
      <w:r w:rsidRPr="003C0B63">
        <w:rPr>
          <w:rFonts w:hint="cs"/>
          <w:sz w:val="24"/>
          <w:szCs w:val="24"/>
          <w:rtl/>
        </w:rPr>
        <w:t xml:space="preserve">השופטת שטרסברג-כהן </w:t>
      </w:r>
      <w:r w:rsidR="00E45BFF">
        <w:rPr>
          <w:rFonts w:hint="cs"/>
          <w:sz w:val="24"/>
          <w:szCs w:val="24"/>
          <w:rtl/>
        </w:rPr>
        <w:t xml:space="preserve">כי </w:t>
      </w:r>
      <w:r w:rsidRPr="003C0B63">
        <w:rPr>
          <w:sz w:val="24"/>
          <w:szCs w:val="24"/>
          <w:rtl/>
        </w:rPr>
        <w:t>תניית הסילוקין תקפה</w:t>
      </w:r>
      <w:r w:rsidR="00E45BFF">
        <w:rPr>
          <w:rFonts w:hint="cs"/>
          <w:sz w:val="24"/>
          <w:szCs w:val="24"/>
          <w:rtl/>
        </w:rPr>
        <w:t xml:space="preserve">, אך אין להפעילה </w:t>
      </w:r>
      <w:r w:rsidRPr="003C0B63">
        <w:rPr>
          <w:rFonts w:hint="cs"/>
          <w:sz w:val="24"/>
          <w:szCs w:val="24"/>
          <w:rtl/>
        </w:rPr>
        <w:t xml:space="preserve">בשל כך שהפנייה של המשיבים לבית המשפט </w:t>
      </w:r>
      <w:r w:rsidRPr="003C0B63">
        <w:rPr>
          <w:sz w:val="24"/>
          <w:szCs w:val="24"/>
          <w:rtl/>
        </w:rPr>
        <w:t>נבע</w:t>
      </w:r>
      <w:r w:rsidRPr="003C0B63">
        <w:rPr>
          <w:rFonts w:hint="cs"/>
          <w:sz w:val="24"/>
          <w:szCs w:val="24"/>
          <w:rtl/>
        </w:rPr>
        <w:t>ה</w:t>
      </w:r>
      <w:r w:rsidRPr="003C0B63">
        <w:rPr>
          <w:sz w:val="24"/>
          <w:szCs w:val="24"/>
          <w:rtl/>
        </w:rPr>
        <w:t xml:space="preserve"> מטעמים ראויים וסבירים וננקטה בתום</w:t>
      </w:r>
      <w:r w:rsidR="005E18AA">
        <w:rPr>
          <w:rFonts w:hint="cs"/>
          <w:sz w:val="24"/>
          <w:szCs w:val="24"/>
          <w:rtl/>
        </w:rPr>
        <w:t xml:space="preserve"> </w:t>
      </w:r>
      <w:r w:rsidRPr="003C0B63">
        <w:rPr>
          <w:sz w:val="24"/>
          <w:szCs w:val="24"/>
          <w:rtl/>
        </w:rPr>
        <w:t xml:space="preserve">לב. </w:t>
      </w:r>
      <w:r w:rsidR="00DE1ED9">
        <w:rPr>
          <w:rFonts w:hint="cs"/>
          <w:sz w:val="24"/>
          <w:szCs w:val="24"/>
          <w:rtl/>
        </w:rPr>
        <w:t xml:space="preserve">כך, חזר ואישר בית המשפט העליון את </w:t>
      </w:r>
      <w:r w:rsidR="00DE1ED9" w:rsidRPr="0087121F">
        <w:rPr>
          <w:rFonts w:hint="cs"/>
          <w:b/>
          <w:bCs/>
          <w:sz w:val="24"/>
          <w:szCs w:val="24"/>
          <w:rtl/>
        </w:rPr>
        <w:t>הלכת</w:t>
      </w:r>
      <w:r w:rsidR="00DE1ED9">
        <w:rPr>
          <w:rFonts w:hint="cs"/>
          <w:sz w:val="24"/>
          <w:szCs w:val="24"/>
          <w:rtl/>
        </w:rPr>
        <w:t xml:space="preserve"> </w:t>
      </w:r>
      <w:r w:rsidR="00DE1ED9" w:rsidRPr="0087121F">
        <w:rPr>
          <w:rFonts w:hint="eastAsia"/>
          <w:b/>
          <w:bCs/>
          <w:sz w:val="24"/>
          <w:szCs w:val="24"/>
          <w:rtl/>
        </w:rPr>
        <w:t>אנגלמן</w:t>
      </w:r>
      <w:r w:rsidR="00DE1ED9">
        <w:rPr>
          <w:rFonts w:hint="cs"/>
          <w:sz w:val="24"/>
          <w:szCs w:val="24"/>
          <w:rtl/>
        </w:rPr>
        <w:t xml:space="preserve"> ואת מודל "ההפעלה המותנית" </w:t>
      </w:r>
      <w:r w:rsidR="001573ED">
        <w:rPr>
          <w:rFonts w:hint="cs"/>
          <w:sz w:val="24"/>
          <w:szCs w:val="24"/>
          <w:rtl/>
        </w:rPr>
        <w:t xml:space="preserve">שבבסיסה, </w:t>
      </w:r>
      <w:r w:rsidR="001C51D2">
        <w:rPr>
          <w:rFonts w:hint="cs"/>
          <w:sz w:val="24"/>
          <w:szCs w:val="24"/>
          <w:rtl/>
        </w:rPr>
        <w:t>שלפיו פנייה נגד הצוואה</w:t>
      </w:r>
      <w:r w:rsidR="00DE1ED9">
        <w:rPr>
          <w:rFonts w:hint="cs"/>
          <w:sz w:val="24"/>
          <w:szCs w:val="24"/>
          <w:rtl/>
        </w:rPr>
        <w:t xml:space="preserve"> מטעמים ראויים ובתום לב גוברת </w:t>
      </w:r>
      <w:r w:rsidRPr="003C0B63">
        <w:rPr>
          <w:rFonts w:hint="cs"/>
          <w:sz w:val="24"/>
          <w:szCs w:val="24"/>
          <w:rtl/>
        </w:rPr>
        <w:t>על פני האינטרס של כיבוד רצון המצווה</w:t>
      </w:r>
      <w:r w:rsidR="00DE1ED9">
        <w:rPr>
          <w:rFonts w:hint="cs"/>
          <w:sz w:val="24"/>
          <w:szCs w:val="24"/>
          <w:rtl/>
        </w:rPr>
        <w:t xml:space="preserve"> בתניית הסילוקין </w:t>
      </w:r>
      <w:r w:rsidRPr="003C0B63">
        <w:rPr>
          <w:rFonts w:hint="cs"/>
          <w:sz w:val="24"/>
          <w:szCs w:val="24"/>
          <w:rtl/>
        </w:rPr>
        <w:t>להגביל את זכות הגישה</w:t>
      </w:r>
      <w:r w:rsidR="00DE1ED9">
        <w:rPr>
          <w:rFonts w:hint="cs"/>
          <w:sz w:val="24"/>
          <w:szCs w:val="24"/>
          <w:rtl/>
        </w:rPr>
        <w:t xml:space="preserve"> של היורשים</w:t>
      </w:r>
      <w:r w:rsidRPr="003C0B63">
        <w:rPr>
          <w:rFonts w:hint="cs"/>
          <w:sz w:val="24"/>
          <w:szCs w:val="24"/>
          <w:rtl/>
        </w:rPr>
        <w:t xml:space="preserve">. </w:t>
      </w:r>
    </w:p>
    <w:p w14:paraId="367F5BDC" w14:textId="77777777" w:rsidR="009923F0" w:rsidRPr="003C0B63" w:rsidRDefault="00CE7BBB" w:rsidP="00FE1D07">
      <w:pPr>
        <w:spacing w:line="360" w:lineRule="auto"/>
        <w:jc w:val="both"/>
        <w:rPr>
          <w:sz w:val="24"/>
          <w:szCs w:val="24"/>
          <w:rtl/>
        </w:rPr>
      </w:pPr>
      <w:r w:rsidRPr="003C0B63">
        <w:rPr>
          <w:sz w:val="24"/>
          <w:szCs w:val="24"/>
          <w:rtl/>
        </w:rPr>
        <w:tab/>
      </w:r>
      <w:r w:rsidR="001573ED">
        <w:rPr>
          <w:rFonts w:hint="cs"/>
          <w:sz w:val="24"/>
          <w:szCs w:val="24"/>
          <w:rtl/>
        </w:rPr>
        <w:t>בשונה מתניות הסילוקין</w:t>
      </w:r>
      <w:r w:rsidR="007D1DB6">
        <w:rPr>
          <w:sz w:val="24"/>
          <w:szCs w:val="24"/>
        </w:rPr>
        <w:t xml:space="preserve"> </w:t>
      </w:r>
      <w:r w:rsidR="007D1DB6">
        <w:rPr>
          <w:rFonts w:hint="cs"/>
          <w:sz w:val="24"/>
          <w:szCs w:val="24"/>
          <w:rtl/>
        </w:rPr>
        <w:t>הצרות</w:t>
      </w:r>
      <w:r w:rsidR="001573ED">
        <w:rPr>
          <w:rFonts w:hint="cs"/>
          <w:sz w:val="24"/>
          <w:szCs w:val="24"/>
          <w:rtl/>
        </w:rPr>
        <w:t xml:space="preserve"> שנדונו בעניין </w:t>
      </w:r>
      <w:r w:rsidR="001573ED" w:rsidRPr="00C6454B">
        <w:rPr>
          <w:rFonts w:hint="eastAsia"/>
          <w:b/>
          <w:bCs/>
          <w:sz w:val="24"/>
          <w:szCs w:val="24"/>
          <w:rtl/>
        </w:rPr>
        <w:t>אנגלמן</w:t>
      </w:r>
      <w:r w:rsidR="001573ED">
        <w:rPr>
          <w:rFonts w:hint="cs"/>
          <w:sz w:val="24"/>
          <w:szCs w:val="24"/>
          <w:rtl/>
        </w:rPr>
        <w:t xml:space="preserve"> ובעניין </w:t>
      </w:r>
      <w:r w:rsidR="001573ED" w:rsidRPr="00C6454B">
        <w:rPr>
          <w:rFonts w:hint="eastAsia"/>
          <w:b/>
          <w:bCs/>
          <w:sz w:val="24"/>
          <w:szCs w:val="24"/>
          <w:rtl/>
        </w:rPr>
        <w:t>יונה</w:t>
      </w:r>
      <w:r w:rsidR="001573ED">
        <w:rPr>
          <w:rFonts w:hint="cs"/>
          <w:sz w:val="24"/>
          <w:szCs w:val="24"/>
          <w:rtl/>
        </w:rPr>
        <w:t xml:space="preserve">, </w:t>
      </w:r>
      <w:r w:rsidR="00AB46AF" w:rsidRPr="003C0B63">
        <w:rPr>
          <w:rFonts w:hint="cs"/>
          <w:sz w:val="24"/>
          <w:szCs w:val="24"/>
          <w:rtl/>
        </w:rPr>
        <w:t>תניית סילוקין רחבה עשויה לקבוע כי יורש אשר יגיש תביעה כלשהי, יאבד את חלקו בצוואה. כלומר, בשונה מתניי</w:t>
      </w:r>
      <w:r w:rsidR="001573ED">
        <w:rPr>
          <w:rFonts w:hint="cs"/>
          <w:sz w:val="24"/>
          <w:szCs w:val="24"/>
          <w:rtl/>
        </w:rPr>
        <w:t>ת</w:t>
      </w:r>
      <w:r w:rsidR="00AB46AF" w:rsidRPr="003C0B63">
        <w:rPr>
          <w:rFonts w:hint="cs"/>
          <w:sz w:val="24"/>
          <w:szCs w:val="24"/>
          <w:rtl/>
        </w:rPr>
        <w:t xml:space="preserve"> </w:t>
      </w:r>
      <w:r w:rsidR="001573ED">
        <w:rPr>
          <w:rFonts w:hint="cs"/>
          <w:sz w:val="24"/>
          <w:szCs w:val="24"/>
          <w:rtl/>
        </w:rPr>
        <w:t xml:space="preserve">סילוקין </w:t>
      </w:r>
      <w:r w:rsidR="00AB46AF" w:rsidRPr="003C0B63">
        <w:rPr>
          <w:rFonts w:hint="cs"/>
          <w:sz w:val="24"/>
          <w:szCs w:val="24"/>
          <w:rtl/>
        </w:rPr>
        <w:t xml:space="preserve">צרה שמטרתה להגן על מימוש רצון המצווה מפני התערבות בתוכן צוואתו, מטרתה העיקרית של תנייה רחבה היא למנוע את עצם הפנייה </w:t>
      </w:r>
      <w:r w:rsidR="001573ED">
        <w:rPr>
          <w:rFonts w:hint="cs"/>
          <w:sz w:val="24"/>
          <w:szCs w:val="24"/>
          <w:rtl/>
        </w:rPr>
        <w:t>של יורש ל</w:t>
      </w:r>
      <w:r w:rsidR="00AB46AF" w:rsidRPr="003C0B63">
        <w:rPr>
          <w:rFonts w:hint="cs"/>
          <w:sz w:val="24"/>
          <w:szCs w:val="24"/>
          <w:rtl/>
        </w:rPr>
        <w:t>ערכאות</w:t>
      </w:r>
      <w:r w:rsidR="001573ED">
        <w:rPr>
          <w:rFonts w:hint="cs"/>
          <w:sz w:val="24"/>
          <w:szCs w:val="24"/>
          <w:rtl/>
        </w:rPr>
        <w:t xml:space="preserve"> גם בנושאים שאינם קשורים לתוכן הצוואה</w:t>
      </w:r>
      <w:r w:rsidR="00AB46AF" w:rsidRPr="003C0B63">
        <w:rPr>
          <w:rFonts w:hint="cs"/>
          <w:sz w:val="24"/>
          <w:szCs w:val="24"/>
          <w:rtl/>
        </w:rPr>
        <w:t>.</w:t>
      </w:r>
      <w:r w:rsidRPr="003C0B63">
        <w:rPr>
          <w:rFonts w:hint="cs"/>
          <w:sz w:val="24"/>
          <w:szCs w:val="24"/>
          <w:rtl/>
        </w:rPr>
        <w:t xml:space="preserve"> דוגמה לתניי</w:t>
      </w:r>
      <w:r w:rsidR="001573ED">
        <w:rPr>
          <w:rFonts w:hint="cs"/>
          <w:sz w:val="24"/>
          <w:szCs w:val="24"/>
          <w:rtl/>
        </w:rPr>
        <w:t>ת</w:t>
      </w:r>
      <w:r w:rsidRPr="003C0B63">
        <w:rPr>
          <w:rFonts w:hint="cs"/>
          <w:sz w:val="24"/>
          <w:szCs w:val="24"/>
          <w:rtl/>
        </w:rPr>
        <w:t xml:space="preserve"> </w:t>
      </w:r>
      <w:r w:rsidR="001573ED">
        <w:rPr>
          <w:rFonts w:hint="cs"/>
          <w:sz w:val="24"/>
          <w:szCs w:val="24"/>
          <w:rtl/>
        </w:rPr>
        <w:t xml:space="preserve">סילוקין רחבה נדונה </w:t>
      </w:r>
      <w:r w:rsidRPr="003C0B63">
        <w:rPr>
          <w:rFonts w:hint="cs"/>
          <w:sz w:val="24"/>
          <w:szCs w:val="24"/>
          <w:rtl/>
        </w:rPr>
        <w:t xml:space="preserve">בעניין </w:t>
      </w:r>
      <w:r w:rsidRPr="003C0B63">
        <w:rPr>
          <w:rFonts w:hint="cs"/>
          <w:b/>
          <w:bCs/>
          <w:sz w:val="24"/>
          <w:szCs w:val="24"/>
          <w:rtl/>
        </w:rPr>
        <w:t>פלונית</w:t>
      </w:r>
      <w:r w:rsidRPr="003C0B63">
        <w:rPr>
          <w:rFonts w:hint="cs"/>
          <w:sz w:val="24"/>
          <w:szCs w:val="24"/>
          <w:rtl/>
        </w:rPr>
        <w:t>,</w:t>
      </w:r>
      <w:r>
        <w:rPr>
          <w:rStyle w:val="a3"/>
          <w:sz w:val="24"/>
          <w:szCs w:val="24"/>
          <w:rtl/>
        </w:rPr>
        <w:footnoteReference w:id="81"/>
      </w:r>
      <w:r w:rsidRPr="003C0B63">
        <w:rPr>
          <w:rFonts w:hint="cs"/>
          <w:sz w:val="24"/>
          <w:szCs w:val="24"/>
          <w:rtl/>
        </w:rPr>
        <w:t xml:space="preserve"> שם </w:t>
      </w:r>
      <w:r w:rsidR="007D1DB6">
        <w:rPr>
          <w:rFonts w:hint="cs"/>
          <w:sz w:val="24"/>
          <w:szCs w:val="24"/>
          <w:rtl/>
        </w:rPr>
        <w:t>נ</w:t>
      </w:r>
      <w:r w:rsidRPr="003C0B63">
        <w:rPr>
          <w:rFonts w:hint="cs"/>
          <w:sz w:val="24"/>
          <w:szCs w:val="24"/>
          <w:rtl/>
        </w:rPr>
        <w:t>קבעה תניית סילוקין בזו הלשון:</w:t>
      </w:r>
    </w:p>
    <w:p w14:paraId="7B0E4103" w14:textId="77777777" w:rsidR="009923F0" w:rsidRPr="003C0B63" w:rsidRDefault="009923F0" w:rsidP="009923F0">
      <w:pPr>
        <w:spacing w:line="360" w:lineRule="auto"/>
        <w:jc w:val="both"/>
        <w:rPr>
          <w:sz w:val="24"/>
          <w:szCs w:val="24"/>
          <w:rtl/>
        </w:rPr>
      </w:pPr>
    </w:p>
    <w:p w14:paraId="6CE10400" w14:textId="77777777" w:rsidR="009923F0" w:rsidRPr="003C0B63" w:rsidRDefault="00CE7BBB" w:rsidP="009923F0">
      <w:pPr>
        <w:spacing w:line="360" w:lineRule="auto"/>
        <w:ind w:left="851" w:right="851"/>
        <w:jc w:val="both"/>
        <w:rPr>
          <w:sz w:val="24"/>
          <w:szCs w:val="24"/>
          <w:rtl/>
        </w:rPr>
      </w:pPr>
      <w:r w:rsidRPr="003C0B63">
        <w:rPr>
          <w:rFonts w:hint="cs"/>
          <w:sz w:val="24"/>
          <w:szCs w:val="24"/>
          <w:rtl/>
        </w:rPr>
        <w:t>"תו</w:t>
      </w:r>
      <w:r w:rsidRPr="003C0B63">
        <w:rPr>
          <w:sz w:val="24"/>
          <w:szCs w:val="24"/>
          <w:rtl/>
        </w:rPr>
        <w:t xml:space="preserve">קף הירושה יהיה קיים איפוא רק לגבי אלה מביניהם שישמרו על יחסי אחווה, רעות ואהבה אחרי מותי, ואם חלילה יגיש אחד מיורשיי, הנזכרים בצוואה זו, </w:t>
      </w:r>
      <w:r w:rsidRPr="003C0B63">
        <w:rPr>
          <w:b/>
          <w:bCs/>
          <w:sz w:val="24"/>
          <w:szCs w:val="24"/>
          <w:rtl/>
        </w:rPr>
        <w:t>תביעה כלשהי</w:t>
      </w:r>
      <w:r w:rsidRPr="003C0B63">
        <w:rPr>
          <w:sz w:val="24"/>
          <w:szCs w:val="24"/>
          <w:rtl/>
        </w:rPr>
        <w:t xml:space="preserve"> נגד יורש(ת) אחר(ת) הנני מצווה חד-משמעית שיאבד אוטומטית את חלקו בירושה."</w:t>
      </w:r>
      <w:r w:rsidRPr="003C0B63">
        <w:rPr>
          <w:rFonts w:hint="cs"/>
          <w:sz w:val="24"/>
          <w:szCs w:val="24"/>
          <w:rtl/>
        </w:rPr>
        <w:t xml:space="preserve"> (ההדגשה הוספה)</w:t>
      </w:r>
    </w:p>
    <w:p w14:paraId="0F637435" w14:textId="77777777" w:rsidR="009923F0" w:rsidRPr="003C0B63" w:rsidRDefault="009923F0" w:rsidP="009923F0">
      <w:pPr>
        <w:spacing w:line="360" w:lineRule="auto"/>
        <w:jc w:val="both"/>
        <w:rPr>
          <w:sz w:val="24"/>
          <w:szCs w:val="24"/>
          <w:rtl/>
        </w:rPr>
      </w:pPr>
    </w:p>
    <w:p w14:paraId="756DC0A2" w14:textId="434D6C0F" w:rsidR="009923F0" w:rsidRPr="003C0B63" w:rsidRDefault="00CE7BBB" w:rsidP="008F4BCC">
      <w:pPr>
        <w:spacing w:line="360" w:lineRule="auto"/>
        <w:jc w:val="both"/>
        <w:rPr>
          <w:sz w:val="24"/>
          <w:szCs w:val="24"/>
          <w:rtl/>
        </w:rPr>
      </w:pPr>
      <w:r>
        <w:rPr>
          <w:rFonts w:hint="cs"/>
          <w:sz w:val="24"/>
          <w:szCs w:val="24"/>
          <w:rtl/>
        </w:rPr>
        <w:t>בית המשפט הציג את שאלת הסף בדבר תוקפן של תניות סילוקין במשפט הישראלי לאור מבחן תקנת הציבור</w:t>
      </w:r>
      <w:r w:rsidR="008F4BCC">
        <w:rPr>
          <w:rFonts w:hint="cs"/>
          <w:sz w:val="24"/>
          <w:szCs w:val="24"/>
          <w:rtl/>
        </w:rPr>
        <w:t>,</w:t>
      </w:r>
      <w:r>
        <w:rPr>
          <w:rFonts w:hint="cs"/>
          <w:sz w:val="24"/>
          <w:szCs w:val="24"/>
          <w:rtl/>
        </w:rPr>
        <w:t xml:space="preserve"> ו</w:t>
      </w:r>
      <w:r w:rsidRPr="003C0B63">
        <w:rPr>
          <w:rFonts w:hint="cs"/>
          <w:sz w:val="24"/>
          <w:szCs w:val="24"/>
          <w:rtl/>
        </w:rPr>
        <w:t>פנה ליישום ההלכה</w:t>
      </w:r>
      <w:r>
        <w:rPr>
          <w:rFonts w:hint="cs"/>
          <w:sz w:val="24"/>
          <w:szCs w:val="24"/>
          <w:rtl/>
        </w:rPr>
        <w:t xml:space="preserve"> המנחה</w:t>
      </w:r>
      <w:r w:rsidRPr="003C0B63">
        <w:rPr>
          <w:rFonts w:hint="cs"/>
          <w:sz w:val="24"/>
          <w:szCs w:val="24"/>
          <w:rtl/>
        </w:rPr>
        <w:t xml:space="preserve"> שנקבעה בפרשת </w:t>
      </w:r>
      <w:r w:rsidRPr="003C0B63">
        <w:rPr>
          <w:rFonts w:hint="cs"/>
          <w:b/>
          <w:bCs/>
          <w:sz w:val="24"/>
          <w:szCs w:val="24"/>
          <w:rtl/>
        </w:rPr>
        <w:t>אנגלמן</w:t>
      </w:r>
      <w:r w:rsidRPr="003C0B63">
        <w:rPr>
          <w:rFonts w:hint="cs"/>
          <w:sz w:val="24"/>
          <w:szCs w:val="24"/>
          <w:rtl/>
        </w:rPr>
        <w:t>. על כן, בית המשפט בדק אם התביעה הוגשה בתום לב ומבוססת על עילה סבירה, ומשמצא שכך הדבר דחה את הטענה בדבר הפעלת תניית הסילוקין. עם זאת, בהערת אגב</w:t>
      </w:r>
      <w:r w:rsidR="008F4BCC">
        <w:rPr>
          <w:rFonts w:hint="cs"/>
          <w:sz w:val="24"/>
          <w:szCs w:val="24"/>
          <w:rtl/>
        </w:rPr>
        <w:t>,</w:t>
      </w:r>
      <w:r w:rsidRPr="003C0B63">
        <w:rPr>
          <w:rFonts w:hint="cs"/>
          <w:sz w:val="24"/>
          <w:szCs w:val="24"/>
          <w:rtl/>
        </w:rPr>
        <w:t xml:space="preserve"> ציין בית המשפט כי: "</w:t>
      </w:r>
      <w:r w:rsidRPr="003C0B63">
        <w:rPr>
          <w:sz w:val="24"/>
          <w:szCs w:val="24"/>
          <w:rtl/>
        </w:rPr>
        <w:t xml:space="preserve">אומנם, תניית הסילוקין שעמדה במבחן בפסק דין </w:t>
      </w:r>
      <w:r w:rsidRPr="003C0B63">
        <w:rPr>
          <w:b/>
          <w:bCs/>
          <w:sz w:val="24"/>
          <w:szCs w:val="24"/>
          <w:rtl/>
        </w:rPr>
        <w:t>אנגלמן</w:t>
      </w:r>
      <w:r w:rsidRPr="003C0B63">
        <w:rPr>
          <w:sz w:val="24"/>
          <w:szCs w:val="24"/>
          <w:rtl/>
        </w:rPr>
        <w:t xml:space="preserve"> הייתה מצומצמת יותר מזו אשר כלולה בצוואתו של המנוח במקרה דנן: בעוד שתניית הסילוקין שבאותו פסק דין קבעה רק שהמתנגד לצוואה יפסיד את חלקו בעזבון, התנאי שבפנינו רחב יותר ואוסר על הגשת תביעה כלשהי נגד יורש. אם כי מגמת הפסיקה היא להכיר בתקפותם של סעיפים מהסוג הזה, וזאת מתוך רצון </w:t>
      </w:r>
      <w:r w:rsidRPr="003C0B63">
        <w:rPr>
          <w:rFonts w:hint="cs"/>
          <w:sz w:val="24"/>
          <w:szCs w:val="24"/>
          <w:rtl/>
        </w:rPr>
        <w:t>'</w:t>
      </w:r>
      <w:r w:rsidRPr="003C0B63">
        <w:rPr>
          <w:sz w:val="24"/>
          <w:szCs w:val="24"/>
          <w:rtl/>
        </w:rPr>
        <w:t>לקיים את דברי המת</w:t>
      </w:r>
      <w:r w:rsidRPr="003C0B63">
        <w:rPr>
          <w:rFonts w:hint="cs"/>
          <w:sz w:val="24"/>
          <w:szCs w:val="24"/>
          <w:rtl/>
        </w:rPr>
        <w:t>'</w:t>
      </w:r>
      <w:r w:rsidRPr="003C0B63">
        <w:rPr>
          <w:sz w:val="24"/>
          <w:szCs w:val="24"/>
          <w:rtl/>
        </w:rPr>
        <w:t>, נשאלת השאלה האם סעיף כזה רחב, אשר מונע תביעות גם אם אינן קשורות ישירות לקיום הצוואה אלא לאספקטים אחרים של העזבון, אינו חורג ממגבלות תקנת הציבור. לאור מסקנתי כי אין לייחס לתביעה חוסר תום לב, ניתן להשאיר שאלה זו ב</w:t>
      </w:r>
      <w:r w:rsidRPr="003C0B63">
        <w:rPr>
          <w:rFonts w:hint="cs"/>
          <w:sz w:val="24"/>
          <w:szCs w:val="24"/>
          <w:rtl/>
        </w:rPr>
        <w:t>'</w:t>
      </w:r>
      <w:r w:rsidRPr="003C0B63">
        <w:rPr>
          <w:sz w:val="24"/>
          <w:szCs w:val="24"/>
          <w:rtl/>
        </w:rPr>
        <w:t>צריך עיון</w:t>
      </w:r>
      <w:r w:rsidRPr="003C0B63">
        <w:rPr>
          <w:rFonts w:hint="cs"/>
          <w:sz w:val="24"/>
          <w:szCs w:val="24"/>
          <w:rtl/>
        </w:rPr>
        <w:t>'</w:t>
      </w:r>
      <w:r w:rsidRPr="003C0B63">
        <w:rPr>
          <w:sz w:val="24"/>
          <w:szCs w:val="24"/>
          <w:rtl/>
        </w:rPr>
        <w:t>, ואיני מכריע בה</w:t>
      </w:r>
      <w:r w:rsidRPr="003C0B63">
        <w:rPr>
          <w:rFonts w:hint="cs"/>
          <w:sz w:val="24"/>
          <w:szCs w:val="24"/>
          <w:rtl/>
        </w:rPr>
        <w:t>"</w:t>
      </w:r>
      <w:r>
        <w:rPr>
          <w:rStyle w:val="a3"/>
          <w:sz w:val="24"/>
          <w:szCs w:val="24"/>
          <w:rtl/>
        </w:rPr>
        <w:footnoteReference w:id="82"/>
      </w:r>
      <w:r w:rsidRPr="003C0B63">
        <w:rPr>
          <w:rFonts w:hint="cs"/>
          <w:sz w:val="24"/>
          <w:szCs w:val="24"/>
          <w:rtl/>
        </w:rPr>
        <w:t>.</w:t>
      </w:r>
      <w:r w:rsidR="00CB78EA">
        <w:rPr>
          <w:rFonts w:hint="cs"/>
          <w:sz w:val="24"/>
          <w:szCs w:val="24"/>
          <w:rtl/>
        </w:rPr>
        <w:t xml:space="preserve"> </w:t>
      </w:r>
      <w:r w:rsidRPr="003C0B63">
        <w:rPr>
          <w:rFonts w:hint="cs"/>
          <w:sz w:val="24"/>
          <w:szCs w:val="24"/>
          <w:rtl/>
        </w:rPr>
        <w:t>תנייה מסוג זה</w:t>
      </w:r>
      <w:r w:rsidR="00B81082" w:rsidRPr="003C0B63">
        <w:rPr>
          <w:rFonts w:hint="cs"/>
          <w:sz w:val="24"/>
          <w:szCs w:val="24"/>
          <w:rtl/>
        </w:rPr>
        <w:t>, חרף העובדה שניתן באופן כללי להצדיקה באמצעות ההצדקות</w:t>
      </w:r>
      <w:r w:rsidR="00E3280B" w:rsidRPr="003C0B63">
        <w:rPr>
          <w:rFonts w:hint="cs"/>
          <w:sz w:val="24"/>
          <w:szCs w:val="24"/>
          <w:rtl/>
        </w:rPr>
        <w:t xml:space="preserve"> הכלליות</w:t>
      </w:r>
      <w:r w:rsidR="00B81082" w:rsidRPr="003C0B63">
        <w:rPr>
          <w:rFonts w:hint="cs"/>
          <w:sz w:val="24"/>
          <w:szCs w:val="24"/>
          <w:rtl/>
        </w:rPr>
        <w:t xml:space="preserve"> להכרה בתוקפן של תניות סילוקין, מטילה מגבלה קיצונית על האפשרות לפנות, בכל עניין שהוא, לערכאות המשפטיות</w:t>
      </w:r>
      <w:r w:rsidRPr="003C0B63">
        <w:rPr>
          <w:rFonts w:hint="cs"/>
          <w:sz w:val="24"/>
          <w:szCs w:val="24"/>
          <w:rtl/>
        </w:rPr>
        <w:t>.</w:t>
      </w:r>
      <w:r w:rsidR="007B3E18" w:rsidRPr="003C0B63">
        <w:rPr>
          <w:rFonts w:hint="cs"/>
          <w:sz w:val="24"/>
          <w:szCs w:val="24"/>
          <w:rtl/>
        </w:rPr>
        <w:t xml:space="preserve"> היא אף מקשה על האפשרות ליישם את הלכת </w:t>
      </w:r>
      <w:r w:rsidR="007B3E18" w:rsidRPr="003C0B63">
        <w:rPr>
          <w:rFonts w:hint="cs"/>
          <w:b/>
          <w:bCs/>
          <w:sz w:val="24"/>
          <w:szCs w:val="24"/>
          <w:rtl/>
        </w:rPr>
        <w:t>אנגלמן</w:t>
      </w:r>
      <w:r w:rsidR="007B3E18" w:rsidRPr="003C0B63">
        <w:rPr>
          <w:rFonts w:hint="cs"/>
          <w:sz w:val="24"/>
          <w:szCs w:val="24"/>
          <w:rtl/>
        </w:rPr>
        <w:t xml:space="preserve"> הנוגעת לפנייה לערכאות בתום</w:t>
      </w:r>
      <w:r w:rsidR="008F4BCC">
        <w:rPr>
          <w:rFonts w:hint="cs"/>
          <w:sz w:val="24"/>
          <w:szCs w:val="24"/>
          <w:rtl/>
        </w:rPr>
        <w:t xml:space="preserve"> </w:t>
      </w:r>
      <w:r w:rsidR="007B3E18" w:rsidRPr="003C0B63">
        <w:rPr>
          <w:rFonts w:hint="cs"/>
          <w:sz w:val="24"/>
          <w:szCs w:val="24"/>
          <w:rtl/>
        </w:rPr>
        <w:t xml:space="preserve">לב ובעילה סבירה, שכן אין מדובר </w:t>
      </w:r>
      <w:r w:rsidR="008F4BCC">
        <w:rPr>
          <w:rFonts w:hint="cs"/>
          <w:sz w:val="24"/>
          <w:szCs w:val="24"/>
          <w:rtl/>
        </w:rPr>
        <w:t xml:space="preserve">עוד </w:t>
      </w:r>
      <w:r w:rsidR="007B3E18" w:rsidRPr="003C0B63">
        <w:rPr>
          <w:rFonts w:hint="cs"/>
          <w:sz w:val="24"/>
          <w:szCs w:val="24"/>
          <w:rtl/>
        </w:rPr>
        <w:t xml:space="preserve">בעילות הנוגעות לתוקף הצוואה, אלא בהגבלה על הגשת תביעות בעניינים מגוונים ובעילות שונות. </w:t>
      </w:r>
      <w:r w:rsidRPr="003C0B63">
        <w:rPr>
          <w:rFonts w:hint="cs"/>
          <w:sz w:val="24"/>
          <w:szCs w:val="24"/>
          <w:rtl/>
        </w:rPr>
        <w:t>על</w:t>
      </w:r>
      <w:r w:rsidR="008F4BCC">
        <w:rPr>
          <w:rFonts w:hint="cs"/>
          <w:sz w:val="24"/>
          <w:szCs w:val="24"/>
          <w:rtl/>
        </w:rPr>
        <w:t xml:space="preserve"> </w:t>
      </w:r>
      <w:r w:rsidRPr="003C0B63">
        <w:rPr>
          <w:rFonts w:hint="cs"/>
          <w:sz w:val="24"/>
          <w:szCs w:val="24"/>
          <w:rtl/>
        </w:rPr>
        <w:t>כן, אם י</w:t>
      </w:r>
      <w:r w:rsidR="008F4BCC">
        <w:rPr>
          <w:rFonts w:hint="cs"/>
          <w:sz w:val="24"/>
          <w:szCs w:val="24"/>
          <w:rtl/>
        </w:rPr>
        <w:t>י</w:t>
      </w:r>
      <w:r w:rsidRPr="003C0B63">
        <w:rPr>
          <w:rFonts w:hint="cs"/>
          <w:sz w:val="24"/>
          <w:szCs w:val="24"/>
          <w:rtl/>
        </w:rPr>
        <w:t xml:space="preserve">קבע </w:t>
      </w:r>
      <w:proofErr w:type="spellStart"/>
      <w:r w:rsidRPr="003C0B63">
        <w:rPr>
          <w:rFonts w:hint="cs"/>
          <w:sz w:val="24"/>
          <w:szCs w:val="24"/>
          <w:rtl/>
        </w:rPr>
        <w:t>בתנייה</w:t>
      </w:r>
      <w:proofErr w:type="spellEnd"/>
      <w:r w:rsidRPr="003C0B63">
        <w:rPr>
          <w:rFonts w:hint="cs"/>
          <w:sz w:val="24"/>
          <w:szCs w:val="24"/>
          <w:rtl/>
        </w:rPr>
        <w:t xml:space="preserve"> רחבה איסור תביעה גורף בין היורשים עצמם</w:t>
      </w:r>
      <w:r w:rsidR="008F4BCC">
        <w:rPr>
          <w:rFonts w:hint="cs"/>
          <w:sz w:val="24"/>
          <w:szCs w:val="24"/>
          <w:rtl/>
        </w:rPr>
        <w:t>,</w:t>
      </w:r>
      <w:r w:rsidRPr="003C0B63">
        <w:rPr>
          <w:rFonts w:hint="cs"/>
          <w:sz w:val="24"/>
          <w:szCs w:val="24"/>
          <w:rtl/>
        </w:rPr>
        <w:t xml:space="preserve"> ומקל וחומר אם </w:t>
      </w:r>
      <w:r w:rsidR="00E3280B" w:rsidRPr="003C0B63">
        <w:rPr>
          <w:rFonts w:hint="cs"/>
          <w:sz w:val="24"/>
          <w:szCs w:val="24"/>
          <w:rtl/>
        </w:rPr>
        <w:t>י</w:t>
      </w:r>
      <w:r w:rsidR="008F4BCC">
        <w:rPr>
          <w:rFonts w:hint="cs"/>
          <w:sz w:val="24"/>
          <w:szCs w:val="24"/>
          <w:rtl/>
        </w:rPr>
        <w:t>י</w:t>
      </w:r>
      <w:r w:rsidRPr="003C0B63">
        <w:rPr>
          <w:rFonts w:hint="cs"/>
          <w:sz w:val="24"/>
          <w:szCs w:val="24"/>
          <w:rtl/>
        </w:rPr>
        <w:t>קבע איסור תביעה כנגד צד שלישי, המגבלה על זכות הגישה לערכאות תהיה כה חמורה עד שהיא עולה כדי פגיעה אסורה בתקנת הציבור ועל</w:t>
      </w:r>
      <w:r w:rsidR="008F4BCC">
        <w:rPr>
          <w:rFonts w:hint="cs"/>
          <w:sz w:val="24"/>
          <w:szCs w:val="24"/>
          <w:rtl/>
        </w:rPr>
        <w:t xml:space="preserve"> </w:t>
      </w:r>
      <w:r w:rsidRPr="003C0B63">
        <w:rPr>
          <w:rFonts w:hint="cs"/>
          <w:sz w:val="24"/>
          <w:szCs w:val="24"/>
          <w:rtl/>
        </w:rPr>
        <w:t xml:space="preserve">כן אין להכיר </w:t>
      </w:r>
      <w:r w:rsidR="00FE1D07">
        <w:rPr>
          <w:rFonts w:hint="cs"/>
          <w:sz w:val="24"/>
          <w:szCs w:val="24"/>
          <w:rtl/>
        </w:rPr>
        <w:t xml:space="preserve">כלל </w:t>
      </w:r>
      <w:r w:rsidRPr="003C0B63">
        <w:rPr>
          <w:rFonts w:hint="cs"/>
          <w:sz w:val="24"/>
          <w:szCs w:val="24"/>
          <w:rtl/>
        </w:rPr>
        <w:t>בתוקפה.</w:t>
      </w:r>
      <w:r w:rsidR="00D52723">
        <w:rPr>
          <w:rFonts w:hint="cs"/>
          <w:sz w:val="24"/>
          <w:szCs w:val="24"/>
          <w:rtl/>
        </w:rPr>
        <w:t xml:space="preserve"> במקרים אלו, אנו מציעים ליישם את מודל </w:t>
      </w:r>
      <w:r w:rsidR="00FE1D07">
        <w:rPr>
          <w:rFonts w:hint="cs"/>
          <w:sz w:val="24"/>
          <w:szCs w:val="24"/>
          <w:rtl/>
        </w:rPr>
        <w:t xml:space="preserve">התוקף </w:t>
      </w:r>
      <w:r w:rsidR="00D52723">
        <w:rPr>
          <w:rFonts w:hint="cs"/>
          <w:sz w:val="24"/>
          <w:szCs w:val="24"/>
          <w:rtl/>
        </w:rPr>
        <w:t>המותנה, ולאפשר לבית המשפט לבחון את תכנה של התנייה כשלעצמה ולשלול את עצם תוקפה</w:t>
      </w:r>
      <w:r w:rsidR="001355D0">
        <w:rPr>
          <w:rFonts w:hint="cs"/>
          <w:sz w:val="24"/>
          <w:szCs w:val="24"/>
          <w:rtl/>
        </w:rPr>
        <w:t xml:space="preserve"> נוכח הפגיעה הישירה בתקנת הציבור</w:t>
      </w:r>
      <w:r w:rsidR="00D52723">
        <w:rPr>
          <w:rFonts w:hint="cs"/>
          <w:sz w:val="24"/>
          <w:szCs w:val="24"/>
          <w:rtl/>
        </w:rPr>
        <w:t>, אף מבלי להידרש לבחינת התנהלותו של הנהנה אשר פנה לערכאות.</w:t>
      </w:r>
      <w:r w:rsidRPr="003C0B63">
        <w:rPr>
          <w:rFonts w:hint="cs"/>
          <w:sz w:val="24"/>
          <w:szCs w:val="24"/>
          <w:rtl/>
        </w:rPr>
        <w:t xml:space="preserve"> </w:t>
      </w:r>
    </w:p>
    <w:p w14:paraId="7B098AA7" w14:textId="77777777" w:rsidR="009923F0" w:rsidRPr="00ED4D4B" w:rsidRDefault="009923F0" w:rsidP="009923F0">
      <w:pPr>
        <w:spacing w:line="360" w:lineRule="auto"/>
        <w:jc w:val="both"/>
        <w:rPr>
          <w:sz w:val="24"/>
          <w:szCs w:val="24"/>
          <w:rtl/>
        </w:rPr>
      </w:pPr>
    </w:p>
    <w:p w14:paraId="38192919" w14:textId="77777777" w:rsidR="006660B2" w:rsidRDefault="00CE7BBB" w:rsidP="00CB78EA">
      <w:pPr>
        <w:pStyle w:val="filenumber0"/>
        <w:bidi/>
        <w:spacing w:beforeAutospacing="0" w:after="0" w:afterAutospacing="0" w:line="360" w:lineRule="auto"/>
        <w:jc w:val="both"/>
        <w:rPr>
          <w:rFonts w:cs="David"/>
          <w:b/>
          <w:bCs/>
          <w:u w:val="single"/>
        </w:rPr>
      </w:pPr>
      <w:r>
        <w:rPr>
          <w:rFonts w:cs="David" w:hint="cs"/>
          <w:b/>
          <w:bCs/>
          <w:u w:val="single"/>
          <w:rtl/>
        </w:rPr>
        <w:t>ה</w:t>
      </w:r>
      <w:r w:rsidR="00CB78EA">
        <w:rPr>
          <w:rFonts w:cs="David" w:hint="cs"/>
          <w:b/>
          <w:bCs/>
          <w:u w:val="single"/>
          <w:rtl/>
        </w:rPr>
        <w:t xml:space="preserve">. </w:t>
      </w:r>
      <w:r>
        <w:rPr>
          <w:rFonts w:cs="David" w:hint="cs"/>
          <w:b/>
          <w:bCs/>
          <w:u w:val="single"/>
          <w:rtl/>
        </w:rPr>
        <w:t>הלכה ותיקה - בעיות חדשות</w:t>
      </w:r>
      <w:r w:rsidR="0069317D">
        <w:rPr>
          <w:rFonts w:cs="David" w:hint="cs"/>
          <w:b/>
          <w:bCs/>
          <w:u w:val="single"/>
          <w:rtl/>
        </w:rPr>
        <w:t xml:space="preserve"> </w:t>
      </w:r>
    </w:p>
    <w:p w14:paraId="384A6472" w14:textId="77777777" w:rsidR="00CB78EA" w:rsidRDefault="00CB78EA" w:rsidP="00CB78EA">
      <w:pPr>
        <w:spacing w:line="360" w:lineRule="auto"/>
        <w:jc w:val="both"/>
        <w:rPr>
          <w:sz w:val="24"/>
          <w:szCs w:val="24"/>
          <w:rtl/>
        </w:rPr>
      </w:pPr>
    </w:p>
    <w:p w14:paraId="18FC4461" w14:textId="77777777" w:rsidR="00CB78EA" w:rsidRDefault="00CE7BBB" w:rsidP="00C64BC0">
      <w:pPr>
        <w:spacing w:line="360" w:lineRule="auto"/>
        <w:jc w:val="both"/>
        <w:rPr>
          <w:rtl/>
        </w:rPr>
      </w:pPr>
      <w:r w:rsidRPr="00646930">
        <w:rPr>
          <w:rFonts w:hint="cs"/>
          <w:sz w:val="24"/>
          <w:szCs w:val="24"/>
          <w:rtl/>
        </w:rPr>
        <w:t xml:space="preserve">תניות סילוקין </w:t>
      </w:r>
      <w:r w:rsidR="0049182A">
        <w:rPr>
          <w:rFonts w:hint="cs"/>
          <w:sz w:val="24"/>
          <w:szCs w:val="24"/>
          <w:rtl/>
        </w:rPr>
        <w:t xml:space="preserve">נדונו </w:t>
      </w:r>
      <w:r w:rsidR="00FE1D07">
        <w:rPr>
          <w:rFonts w:hint="cs"/>
          <w:sz w:val="24"/>
          <w:szCs w:val="24"/>
          <w:rtl/>
        </w:rPr>
        <w:t>בבתי</w:t>
      </w:r>
      <w:r w:rsidRPr="00646930">
        <w:rPr>
          <w:rFonts w:hint="cs"/>
          <w:sz w:val="24"/>
          <w:szCs w:val="24"/>
          <w:rtl/>
        </w:rPr>
        <w:t xml:space="preserve"> המשפט</w:t>
      </w:r>
      <w:r w:rsidR="00FE1D07">
        <w:rPr>
          <w:rFonts w:hint="cs"/>
          <w:sz w:val="24"/>
          <w:szCs w:val="24"/>
          <w:rtl/>
        </w:rPr>
        <w:t xml:space="preserve"> בישראל</w:t>
      </w:r>
      <w:r w:rsidR="00C64BC0">
        <w:rPr>
          <w:rFonts w:hint="cs"/>
          <w:sz w:val="24"/>
          <w:szCs w:val="24"/>
          <w:rtl/>
        </w:rPr>
        <w:t xml:space="preserve"> במספר מועט של מקרים, אשר הוכרעו ועדיין מוכרעים על בסיס ההלכה העקרונית שנפסקה בפרשת </w:t>
      </w:r>
      <w:r w:rsidR="00C64BC0" w:rsidRPr="00C64BC0">
        <w:rPr>
          <w:rFonts w:hint="cs"/>
          <w:b/>
          <w:bCs/>
          <w:sz w:val="24"/>
          <w:szCs w:val="24"/>
          <w:rtl/>
        </w:rPr>
        <w:t>אנגלמן</w:t>
      </w:r>
      <w:r w:rsidR="00C64BC0">
        <w:rPr>
          <w:rFonts w:hint="cs"/>
          <w:sz w:val="24"/>
          <w:szCs w:val="24"/>
          <w:rtl/>
        </w:rPr>
        <w:t xml:space="preserve">. אולם, יישומה של הלכת </w:t>
      </w:r>
      <w:r w:rsidR="00C64BC0" w:rsidRPr="00C64BC0">
        <w:rPr>
          <w:rFonts w:hint="cs"/>
          <w:b/>
          <w:bCs/>
          <w:sz w:val="24"/>
          <w:szCs w:val="24"/>
          <w:rtl/>
        </w:rPr>
        <w:t>אנגלמן</w:t>
      </w:r>
      <w:r w:rsidR="00C64BC0">
        <w:rPr>
          <w:rFonts w:hint="cs"/>
          <w:sz w:val="24"/>
          <w:szCs w:val="24"/>
          <w:rtl/>
        </w:rPr>
        <w:t xml:space="preserve"> במצבים מורכבים שלא נדונו בישראל יכולה ליצור תוצאות בלתי רצויות. בשורות הבאות ננסה לקיים דיון ראשוני בכמה מן המצבים המורכבים הללו.</w:t>
      </w:r>
      <w:r w:rsidR="002573F0">
        <w:rPr>
          <w:rFonts w:hint="cs"/>
          <w:rtl/>
        </w:rPr>
        <w:tab/>
      </w:r>
    </w:p>
    <w:p w14:paraId="20D80459" w14:textId="2E3DA435" w:rsidR="00646930" w:rsidRPr="00ED4D4B" w:rsidRDefault="00CE7BBB" w:rsidP="00A82168">
      <w:pPr>
        <w:spacing w:line="360" w:lineRule="auto"/>
        <w:ind w:firstLine="720"/>
        <w:jc w:val="both"/>
        <w:rPr>
          <w:sz w:val="24"/>
          <w:szCs w:val="24"/>
          <w:rtl/>
        </w:rPr>
      </w:pPr>
      <w:r>
        <w:rPr>
          <w:rFonts w:hint="cs"/>
          <w:sz w:val="24"/>
          <w:szCs w:val="24"/>
          <w:rtl/>
        </w:rPr>
        <w:t xml:space="preserve">מהו הדין לגבי </w:t>
      </w:r>
      <w:r w:rsidRPr="00ED4D4B">
        <w:rPr>
          <w:rFonts w:hint="cs"/>
          <w:sz w:val="24"/>
          <w:szCs w:val="24"/>
          <w:rtl/>
        </w:rPr>
        <w:t xml:space="preserve">תניית סילוקין </w:t>
      </w:r>
      <w:r>
        <w:rPr>
          <w:rFonts w:hint="cs"/>
          <w:sz w:val="24"/>
          <w:szCs w:val="24"/>
          <w:rtl/>
        </w:rPr>
        <w:t xml:space="preserve">שבה </w:t>
      </w:r>
      <w:r w:rsidRPr="00ED4D4B">
        <w:rPr>
          <w:rFonts w:hint="cs"/>
          <w:sz w:val="24"/>
          <w:szCs w:val="24"/>
          <w:rtl/>
        </w:rPr>
        <w:t xml:space="preserve">מציין </w:t>
      </w:r>
      <w:r>
        <w:rPr>
          <w:rFonts w:hint="cs"/>
          <w:sz w:val="24"/>
          <w:szCs w:val="24"/>
          <w:rtl/>
        </w:rPr>
        <w:t xml:space="preserve">המוריש </w:t>
      </w:r>
      <w:r w:rsidRPr="00ED4D4B">
        <w:rPr>
          <w:rFonts w:hint="cs"/>
          <w:sz w:val="24"/>
          <w:szCs w:val="24"/>
          <w:rtl/>
        </w:rPr>
        <w:t>במפורש כי היא תחול גם מקום בו הפנייה לבית</w:t>
      </w:r>
      <w:r w:rsidR="00A82168">
        <w:rPr>
          <w:rFonts w:hint="cs"/>
          <w:sz w:val="24"/>
          <w:szCs w:val="24"/>
          <w:rtl/>
        </w:rPr>
        <w:t xml:space="preserve"> </w:t>
      </w:r>
      <w:r w:rsidRPr="00ED4D4B">
        <w:rPr>
          <w:rFonts w:hint="cs"/>
          <w:sz w:val="24"/>
          <w:szCs w:val="24"/>
          <w:rtl/>
        </w:rPr>
        <w:t xml:space="preserve">המשפט </w:t>
      </w:r>
      <w:r w:rsidR="00A50E03">
        <w:rPr>
          <w:rFonts w:hint="cs"/>
          <w:sz w:val="24"/>
          <w:szCs w:val="24"/>
          <w:rtl/>
        </w:rPr>
        <w:t xml:space="preserve">נגד הצוואה </w:t>
      </w:r>
      <w:r w:rsidRPr="00ED4D4B">
        <w:rPr>
          <w:rFonts w:hint="cs"/>
          <w:sz w:val="24"/>
          <w:szCs w:val="24"/>
          <w:rtl/>
        </w:rPr>
        <w:t xml:space="preserve">תיעשה </w:t>
      </w:r>
      <w:r w:rsidR="00A50E03">
        <w:rPr>
          <w:rFonts w:hint="cs"/>
          <w:sz w:val="24"/>
          <w:szCs w:val="24"/>
          <w:rtl/>
        </w:rPr>
        <w:t>על</w:t>
      </w:r>
      <w:r w:rsidR="00A82168">
        <w:rPr>
          <w:rFonts w:hint="cs"/>
          <w:sz w:val="24"/>
          <w:szCs w:val="24"/>
          <w:rtl/>
        </w:rPr>
        <w:t xml:space="preserve"> </w:t>
      </w:r>
      <w:r w:rsidR="00A50E03">
        <w:rPr>
          <w:rFonts w:hint="cs"/>
          <w:sz w:val="24"/>
          <w:szCs w:val="24"/>
          <w:rtl/>
        </w:rPr>
        <w:t xml:space="preserve">ידי הנהנה </w:t>
      </w:r>
      <w:r w:rsidRPr="00ED4D4B">
        <w:rPr>
          <w:rFonts w:hint="cs"/>
          <w:sz w:val="24"/>
          <w:szCs w:val="24"/>
          <w:rtl/>
        </w:rPr>
        <w:t>בתום לב ובעילה סבירה</w:t>
      </w:r>
      <w:r>
        <w:rPr>
          <w:rFonts w:hint="cs"/>
          <w:sz w:val="24"/>
          <w:szCs w:val="24"/>
          <w:rtl/>
        </w:rPr>
        <w:t>?</w:t>
      </w:r>
      <w:r w:rsidRPr="00ED4D4B">
        <w:rPr>
          <w:rFonts w:hint="cs"/>
          <w:sz w:val="24"/>
          <w:szCs w:val="24"/>
          <w:rtl/>
        </w:rPr>
        <w:t xml:space="preserve"> תנייה כזו הובאה לפתחו של בית המשפט העליון של מדינת מיסיסיפי בעניין</w:t>
      </w:r>
      <w:r w:rsidRPr="00063AE7">
        <w:rPr>
          <w:b/>
          <w:bCs/>
          <w:sz w:val="24"/>
          <w:szCs w:val="24"/>
          <w:rtl/>
        </w:rPr>
        <w:t xml:space="preserve"> </w:t>
      </w:r>
      <w:r w:rsidRPr="00063AE7">
        <w:rPr>
          <w:b/>
          <w:bCs/>
          <w:i/>
          <w:iCs/>
          <w:sz w:val="24"/>
          <w:szCs w:val="24"/>
        </w:rPr>
        <w:t>Parker</w:t>
      </w:r>
      <w:r>
        <w:rPr>
          <w:rFonts w:hint="cs"/>
          <w:i/>
          <w:iCs/>
          <w:sz w:val="24"/>
          <w:szCs w:val="24"/>
          <w:rtl/>
        </w:rPr>
        <w:t>.</w:t>
      </w:r>
      <w:r>
        <w:rPr>
          <w:rStyle w:val="a3"/>
          <w:sz w:val="24"/>
          <w:szCs w:val="24"/>
          <w:rtl/>
        </w:rPr>
        <w:footnoteReference w:id="83"/>
      </w:r>
      <w:r w:rsidRPr="00ED4D4B">
        <w:rPr>
          <w:rFonts w:hint="cs"/>
          <w:sz w:val="24"/>
          <w:szCs w:val="24"/>
          <w:rtl/>
        </w:rPr>
        <w:t xml:space="preserve"> בית המשפט דן בשאלה </w:t>
      </w:r>
      <w:r w:rsidR="005134D7">
        <w:rPr>
          <w:rFonts w:hint="cs"/>
          <w:sz w:val="24"/>
          <w:szCs w:val="24"/>
          <w:rtl/>
        </w:rPr>
        <w:t xml:space="preserve">אם יש להפעיל את </w:t>
      </w:r>
      <w:proofErr w:type="spellStart"/>
      <w:r w:rsidR="005134D7">
        <w:rPr>
          <w:rFonts w:hint="cs"/>
          <w:sz w:val="24"/>
          <w:szCs w:val="24"/>
          <w:rtl/>
        </w:rPr>
        <w:t>התנייה</w:t>
      </w:r>
      <w:proofErr w:type="spellEnd"/>
      <w:r w:rsidRPr="00ED4D4B">
        <w:rPr>
          <w:rFonts w:hint="cs"/>
          <w:sz w:val="24"/>
          <w:szCs w:val="24"/>
          <w:rtl/>
        </w:rPr>
        <w:t xml:space="preserve">, </w:t>
      </w:r>
      <w:r w:rsidR="005134D7">
        <w:rPr>
          <w:rFonts w:hint="cs"/>
          <w:sz w:val="24"/>
          <w:szCs w:val="24"/>
          <w:rtl/>
        </w:rPr>
        <w:t xml:space="preserve">ענה על </w:t>
      </w:r>
      <w:r w:rsidR="00A82168">
        <w:rPr>
          <w:rFonts w:hint="cs"/>
          <w:sz w:val="24"/>
          <w:szCs w:val="24"/>
          <w:rtl/>
        </w:rPr>
        <w:t xml:space="preserve">כך </w:t>
      </w:r>
      <w:r w:rsidR="005134D7">
        <w:rPr>
          <w:rFonts w:hint="cs"/>
          <w:sz w:val="24"/>
          <w:szCs w:val="24"/>
          <w:rtl/>
        </w:rPr>
        <w:t xml:space="preserve">בשלילה </w:t>
      </w:r>
      <w:r w:rsidRPr="00ED4D4B">
        <w:rPr>
          <w:rFonts w:hint="cs"/>
          <w:sz w:val="24"/>
          <w:szCs w:val="24"/>
          <w:rtl/>
        </w:rPr>
        <w:t xml:space="preserve">וקבע כי אין </w:t>
      </w:r>
      <w:r w:rsidR="005134D7">
        <w:rPr>
          <w:rFonts w:hint="cs"/>
          <w:sz w:val="24"/>
          <w:szCs w:val="24"/>
          <w:rtl/>
        </w:rPr>
        <w:t>לאכוף אותה</w:t>
      </w:r>
      <w:r w:rsidRPr="00ED4D4B">
        <w:rPr>
          <w:rFonts w:hint="cs"/>
          <w:sz w:val="24"/>
          <w:szCs w:val="24"/>
          <w:rtl/>
        </w:rPr>
        <w:t xml:space="preserve"> נוכח המגבלה שהיא מטילה על זכות הגישה לערכאות. את קביעתו נימק בית המשפט כך:</w:t>
      </w:r>
    </w:p>
    <w:p w14:paraId="13B106EA" w14:textId="77777777" w:rsidR="00646930" w:rsidRPr="00ED4D4B" w:rsidRDefault="00646930" w:rsidP="00646930">
      <w:pPr>
        <w:spacing w:line="360" w:lineRule="auto"/>
        <w:jc w:val="both"/>
        <w:rPr>
          <w:sz w:val="24"/>
          <w:szCs w:val="24"/>
          <w:rtl/>
        </w:rPr>
      </w:pPr>
    </w:p>
    <w:p w14:paraId="0962FC4E" w14:textId="77777777" w:rsidR="00646930" w:rsidRPr="00ED4D4B" w:rsidRDefault="00CE7BBB" w:rsidP="00646930">
      <w:pPr>
        <w:bidi w:val="0"/>
        <w:spacing w:line="360" w:lineRule="auto"/>
        <w:ind w:left="851" w:right="851"/>
        <w:jc w:val="both"/>
        <w:rPr>
          <w:sz w:val="24"/>
          <w:szCs w:val="24"/>
        </w:rPr>
      </w:pPr>
      <w:r w:rsidRPr="00ED4D4B">
        <w:rPr>
          <w:color w:val="000000"/>
          <w:sz w:val="24"/>
          <w:szCs w:val="24"/>
          <w:shd w:val="clear" w:color="auto" w:fill="FFFFFF"/>
        </w:rPr>
        <w:t>"The right of access to the courts is fundamental in this State.</w:t>
      </w:r>
      <w:r w:rsidRPr="00ED4D4B">
        <w:rPr>
          <w:noProof/>
          <w:color w:val="8F2B8C"/>
          <w:sz w:val="24"/>
          <w:szCs w:val="24"/>
        </w:rPr>
        <w:t xml:space="preserve"> </w:t>
      </w:r>
      <w:r w:rsidRPr="00ED4D4B">
        <w:rPr>
          <w:color w:val="000000"/>
          <w:sz w:val="24"/>
          <w:szCs w:val="24"/>
          <w:shd w:val="clear" w:color="auto" w:fill="FFFFFF"/>
        </w:rPr>
        <w:t>All courts shall be open; and every person […] shall have remedy by due course of law, and right and justice shall be administered without sale, denial, or delay. To</w:t>
      </w:r>
      <w:r w:rsidRPr="00ED4D4B">
        <w:rPr>
          <w:rStyle w:val="apple-converted-space"/>
          <w:color w:val="000000"/>
          <w:sz w:val="24"/>
          <w:szCs w:val="24"/>
          <w:shd w:val="clear" w:color="auto" w:fill="FFFFFF"/>
        </w:rPr>
        <w:t> </w:t>
      </w:r>
      <w:r w:rsidRPr="00ED4D4B">
        <w:rPr>
          <w:color w:val="000000"/>
          <w:sz w:val="24"/>
          <w:szCs w:val="24"/>
          <w:shd w:val="clear" w:color="auto" w:fill="FFFFFF"/>
        </w:rPr>
        <w:t xml:space="preserve">allow the </w:t>
      </w:r>
      <w:r w:rsidRPr="005134D7">
        <w:rPr>
          <w:i/>
          <w:iCs/>
          <w:color w:val="000000"/>
          <w:sz w:val="24"/>
          <w:szCs w:val="24"/>
          <w:shd w:val="clear" w:color="auto" w:fill="FFFFFF"/>
        </w:rPr>
        <w:t>enforcement</w:t>
      </w:r>
      <w:r w:rsidRPr="00ED4D4B">
        <w:rPr>
          <w:color w:val="000000"/>
          <w:sz w:val="24"/>
          <w:szCs w:val="24"/>
          <w:shd w:val="clear" w:color="auto" w:fill="FFFFFF"/>
        </w:rPr>
        <w:t xml:space="preserve"> of a forfeiture</w:t>
      </w:r>
      <w:r w:rsidRPr="00ED4D4B">
        <w:rPr>
          <w:rStyle w:val="apple-converted-space"/>
          <w:color w:val="000000"/>
          <w:sz w:val="24"/>
          <w:szCs w:val="24"/>
          <w:shd w:val="clear" w:color="auto" w:fill="FFFFFF"/>
        </w:rPr>
        <w:t> </w:t>
      </w:r>
      <w:r w:rsidRPr="00ED4D4B">
        <w:rPr>
          <w:color w:val="000000"/>
          <w:sz w:val="24"/>
          <w:szCs w:val="24"/>
          <w:shd w:val="clear" w:color="auto" w:fill="FFFFFF"/>
        </w:rPr>
        <w:t>clause, regardless of a good-faith challenge based upon probable cause, would be unconstitutional and against public policy. A forfeiture provision that acts regardless of a will contestant's good faith would frustrate the right of that citizen to access the courts […]. A testator cannot be allowed to hamper so fundamentally such a vital right to his heirs</w:t>
      </w:r>
      <w:r w:rsidR="00EE68D9">
        <w:rPr>
          <w:color w:val="000000"/>
          <w:sz w:val="24"/>
          <w:szCs w:val="24"/>
          <w:shd w:val="clear" w:color="auto" w:fill="FFFFFF"/>
        </w:rPr>
        <w:t>.</w:t>
      </w:r>
      <w:r w:rsidRPr="00ED4D4B">
        <w:rPr>
          <w:color w:val="000000"/>
          <w:sz w:val="24"/>
          <w:szCs w:val="24"/>
          <w:shd w:val="clear" w:color="auto" w:fill="FFFFFF"/>
        </w:rPr>
        <w:t>"</w:t>
      </w:r>
    </w:p>
    <w:p w14:paraId="3575DFC7" w14:textId="77777777" w:rsidR="00646930" w:rsidRPr="00646930" w:rsidRDefault="00646930" w:rsidP="00646930">
      <w:pPr>
        <w:spacing w:line="360" w:lineRule="auto"/>
        <w:jc w:val="both"/>
        <w:rPr>
          <w:sz w:val="24"/>
          <w:szCs w:val="24"/>
          <w:rtl/>
        </w:rPr>
      </w:pPr>
    </w:p>
    <w:p w14:paraId="0616ABEA" w14:textId="0D7FBEEB" w:rsidR="00646930" w:rsidRDefault="00CE7BBB" w:rsidP="00A82168">
      <w:pPr>
        <w:pStyle w:val="filenumber0"/>
        <w:bidi/>
        <w:spacing w:beforeAutospacing="0" w:after="0" w:afterAutospacing="0" w:line="360" w:lineRule="auto"/>
        <w:jc w:val="both"/>
        <w:rPr>
          <w:rFonts w:cs="David"/>
          <w:rtl/>
        </w:rPr>
      </w:pPr>
      <w:r w:rsidRPr="00646930">
        <w:rPr>
          <w:rFonts w:cs="David" w:hint="cs"/>
          <w:rtl/>
        </w:rPr>
        <w:t xml:space="preserve">עמדה ראויה זו משקפת את האיזון המתאים </w:t>
      </w:r>
      <w:r w:rsidR="00AB06E2">
        <w:rPr>
          <w:rFonts w:cs="David" w:hint="cs"/>
          <w:rtl/>
        </w:rPr>
        <w:t xml:space="preserve">בנסיבות העניין </w:t>
      </w:r>
      <w:r w:rsidRPr="00646930">
        <w:rPr>
          <w:rFonts w:cs="David" w:hint="cs"/>
          <w:rtl/>
        </w:rPr>
        <w:t xml:space="preserve">בין זכותו של המצווה לבין זכות הגישה לערכאות. למעשה, הגישה בה נקט בית המשפט עולה בקנה אחד עם </w:t>
      </w:r>
      <w:r w:rsidR="00AB06E2">
        <w:rPr>
          <w:rFonts w:cs="David" w:hint="cs"/>
          <w:rtl/>
        </w:rPr>
        <w:t xml:space="preserve">רוחו של </w:t>
      </w:r>
      <w:r w:rsidRPr="00646930">
        <w:rPr>
          <w:rFonts w:cs="David" w:hint="cs"/>
          <w:rtl/>
        </w:rPr>
        <w:t>הדין הישראלי הן לעניין הגבולות שנקבעו בפסיקה ל</w:t>
      </w:r>
      <w:r w:rsidR="00AB06E2">
        <w:rPr>
          <w:rFonts w:cs="David" w:hint="cs"/>
          <w:rtl/>
        </w:rPr>
        <w:t xml:space="preserve">גבי </w:t>
      </w:r>
      <w:r w:rsidRPr="00646930">
        <w:rPr>
          <w:rFonts w:cs="David" w:hint="cs"/>
          <w:rtl/>
        </w:rPr>
        <w:t xml:space="preserve">תניית הסילוקין </w:t>
      </w:r>
      <w:r w:rsidR="00A82168">
        <w:rPr>
          <w:rFonts w:cs="David" w:hint="cs"/>
          <w:rtl/>
        </w:rPr>
        <w:t>ו</w:t>
      </w:r>
      <w:r w:rsidRPr="00646930">
        <w:rPr>
          <w:rFonts w:cs="David" w:hint="cs"/>
          <w:rtl/>
        </w:rPr>
        <w:t xml:space="preserve">הן לעניין מעמדה של זכות הגישה. </w:t>
      </w:r>
      <w:r w:rsidR="00521A3D">
        <w:rPr>
          <w:rFonts w:cs="David" w:hint="cs"/>
          <w:rtl/>
        </w:rPr>
        <w:t>לדעתנו, ר</w:t>
      </w:r>
      <w:r w:rsidR="00AB06E2">
        <w:rPr>
          <w:rFonts w:cs="David" w:hint="cs"/>
          <w:rtl/>
        </w:rPr>
        <w:t xml:space="preserve">אוי </w:t>
      </w:r>
      <w:r w:rsidR="00521A3D">
        <w:rPr>
          <w:rFonts w:cs="David" w:hint="cs"/>
          <w:rtl/>
        </w:rPr>
        <w:t xml:space="preserve">במקרה </w:t>
      </w:r>
      <w:r w:rsidR="00A82168">
        <w:rPr>
          <w:rFonts w:cs="David" w:hint="cs"/>
          <w:rtl/>
        </w:rPr>
        <w:t xml:space="preserve">כגון זה </w:t>
      </w:r>
      <w:r w:rsidR="00521A3D">
        <w:rPr>
          <w:rFonts w:cs="David" w:hint="cs"/>
          <w:rtl/>
        </w:rPr>
        <w:t xml:space="preserve">גם בישראל </w:t>
      </w:r>
      <w:r w:rsidRPr="00646930">
        <w:rPr>
          <w:rFonts w:cs="David" w:hint="cs"/>
          <w:rtl/>
        </w:rPr>
        <w:t xml:space="preserve">להעדיף </w:t>
      </w:r>
      <w:r w:rsidR="00AB06E2">
        <w:rPr>
          <w:rFonts w:cs="David" w:hint="cs"/>
          <w:rtl/>
        </w:rPr>
        <w:t xml:space="preserve">במסגרת האיזון </w:t>
      </w:r>
      <w:r w:rsidRPr="00646930">
        <w:rPr>
          <w:rFonts w:cs="David" w:hint="cs"/>
          <w:rtl/>
        </w:rPr>
        <w:t>את זכות הגישה לערכאות של היורשים על פני רצון המצווה</w:t>
      </w:r>
      <w:r w:rsidR="00AB06E2">
        <w:rPr>
          <w:rFonts w:cs="David" w:hint="cs"/>
          <w:rtl/>
        </w:rPr>
        <w:t>. מקרה כזה מצדיק</w:t>
      </w:r>
      <w:r w:rsidR="00A82168">
        <w:rPr>
          <w:rFonts w:cs="David" w:hint="cs"/>
          <w:rtl/>
        </w:rPr>
        <w:t>,</w:t>
      </w:r>
      <w:r w:rsidR="00AB06E2">
        <w:rPr>
          <w:rFonts w:cs="David" w:hint="cs"/>
          <w:rtl/>
        </w:rPr>
        <w:t xml:space="preserve"> לדעתנו</w:t>
      </w:r>
      <w:r w:rsidR="00A82168">
        <w:rPr>
          <w:rFonts w:cs="David" w:hint="cs"/>
          <w:rtl/>
        </w:rPr>
        <w:t>,</w:t>
      </w:r>
      <w:r w:rsidR="00AB06E2">
        <w:rPr>
          <w:rFonts w:cs="David" w:hint="cs"/>
          <w:rtl/>
        </w:rPr>
        <w:t xml:space="preserve"> לאמץ בישראל </w:t>
      </w:r>
      <w:r w:rsidR="003D4F24">
        <w:rPr>
          <w:rFonts w:cs="David" w:hint="cs"/>
          <w:rtl/>
        </w:rPr>
        <w:t xml:space="preserve">את </w:t>
      </w:r>
      <w:r w:rsidR="00AB06E2">
        <w:rPr>
          <w:rFonts w:cs="David" w:hint="cs"/>
          <w:rtl/>
        </w:rPr>
        <w:t xml:space="preserve">מודל התוקף המותנה </w:t>
      </w:r>
      <w:r w:rsidR="003D4F24">
        <w:rPr>
          <w:rFonts w:cs="David" w:hint="cs"/>
          <w:rtl/>
        </w:rPr>
        <w:t xml:space="preserve">(בנוסף </w:t>
      </w:r>
      <w:r w:rsidR="00A82168">
        <w:rPr>
          <w:rFonts w:cs="David" w:hint="cs"/>
          <w:rtl/>
        </w:rPr>
        <w:t>ל</w:t>
      </w:r>
      <w:r w:rsidR="003D4F24">
        <w:rPr>
          <w:rFonts w:cs="David" w:hint="cs"/>
          <w:rtl/>
        </w:rPr>
        <w:t>מודל ההפע</w:t>
      </w:r>
      <w:r w:rsidR="00521A3D">
        <w:rPr>
          <w:rFonts w:cs="David" w:hint="cs"/>
          <w:rtl/>
        </w:rPr>
        <w:t>ל</w:t>
      </w:r>
      <w:r w:rsidR="003D4F24">
        <w:rPr>
          <w:rFonts w:cs="David" w:hint="cs"/>
          <w:rtl/>
        </w:rPr>
        <w:t>ה המותנית</w:t>
      </w:r>
      <w:r w:rsidR="00521A3D">
        <w:rPr>
          <w:rFonts w:cs="David" w:hint="cs"/>
          <w:rtl/>
        </w:rPr>
        <w:t xml:space="preserve"> שאומץ בפרשת </w:t>
      </w:r>
      <w:r w:rsidR="00521A3D" w:rsidRPr="00521A3D">
        <w:rPr>
          <w:rFonts w:cs="David" w:hint="cs"/>
          <w:b/>
          <w:bCs/>
          <w:rtl/>
        </w:rPr>
        <w:t>אנגלמן</w:t>
      </w:r>
      <w:r w:rsidR="003D4F24">
        <w:rPr>
          <w:rFonts w:cs="David" w:hint="cs"/>
          <w:rtl/>
        </w:rPr>
        <w:t xml:space="preserve">) </w:t>
      </w:r>
      <w:r w:rsidR="00AB06E2">
        <w:rPr>
          <w:rFonts w:cs="David" w:hint="cs"/>
          <w:rtl/>
        </w:rPr>
        <w:t xml:space="preserve">ולקבוע </w:t>
      </w:r>
      <w:r w:rsidR="003D4F24">
        <w:rPr>
          <w:rFonts w:cs="David" w:hint="cs"/>
          <w:rtl/>
        </w:rPr>
        <w:t>ש</w:t>
      </w:r>
      <w:r w:rsidRPr="00646930">
        <w:rPr>
          <w:rFonts w:cs="David" w:hint="cs"/>
          <w:rtl/>
        </w:rPr>
        <w:t xml:space="preserve">תנייה </w:t>
      </w:r>
      <w:r w:rsidR="003D4F24">
        <w:rPr>
          <w:rFonts w:cs="David" w:hint="cs"/>
          <w:rtl/>
        </w:rPr>
        <w:t>מסוג זה</w:t>
      </w:r>
      <w:r w:rsidRPr="00646930">
        <w:rPr>
          <w:rFonts w:cs="David" w:hint="cs"/>
          <w:rtl/>
        </w:rPr>
        <w:t xml:space="preserve"> מגבילה את זכות הגישה באופן </w:t>
      </w:r>
      <w:r w:rsidRPr="00521A3D">
        <w:rPr>
          <w:rFonts w:cs="David" w:hint="cs"/>
          <w:b/>
          <w:bCs/>
          <w:rtl/>
        </w:rPr>
        <w:t>הפוגע בתקנת הציבור</w:t>
      </w:r>
      <w:r w:rsidRPr="00646930">
        <w:rPr>
          <w:rFonts w:cs="David" w:hint="cs"/>
          <w:rtl/>
        </w:rPr>
        <w:t xml:space="preserve"> במידה </w:t>
      </w:r>
      <w:r w:rsidR="003D4F24">
        <w:rPr>
          <w:rFonts w:cs="David" w:hint="cs"/>
          <w:rtl/>
        </w:rPr>
        <w:t>ה</w:t>
      </w:r>
      <w:r w:rsidRPr="00646930">
        <w:rPr>
          <w:rFonts w:cs="David" w:hint="cs"/>
          <w:rtl/>
        </w:rPr>
        <w:t>מצדיקה את בטלותה.</w:t>
      </w:r>
    </w:p>
    <w:p w14:paraId="2ECDE296" w14:textId="0831A9C2" w:rsidR="00BC4E3E" w:rsidRDefault="00CE7BBB" w:rsidP="00A82168">
      <w:pPr>
        <w:pStyle w:val="filenumber0"/>
        <w:bidi/>
        <w:spacing w:beforeAutospacing="0" w:after="0" w:afterAutospacing="0" w:line="360" w:lineRule="auto"/>
        <w:ind w:firstLine="360"/>
        <w:jc w:val="both"/>
        <w:rPr>
          <w:rFonts w:cs="David"/>
          <w:rtl/>
        </w:rPr>
      </w:pPr>
      <w:r>
        <w:rPr>
          <w:rFonts w:cs="David" w:hint="cs"/>
          <w:rtl/>
        </w:rPr>
        <w:t xml:space="preserve">המשפט המשווה מספק </w:t>
      </w:r>
      <w:r w:rsidR="003D4F24">
        <w:rPr>
          <w:rFonts w:cs="David" w:hint="cs"/>
          <w:rtl/>
        </w:rPr>
        <w:t>ד</w:t>
      </w:r>
      <w:r w:rsidR="00DB2CCC" w:rsidRPr="00317070">
        <w:rPr>
          <w:rFonts w:cs="David" w:hint="cs"/>
          <w:rtl/>
        </w:rPr>
        <w:t xml:space="preserve">וגמאות נוספות למקרים </w:t>
      </w:r>
      <w:r w:rsidR="00A82168">
        <w:rPr>
          <w:rFonts w:cs="David" w:hint="cs"/>
          <w:rtl/>
        </w:rPr>
        <w:t>ה</w:t>
      </w:r>
      <w:r w:rsidR="00A82168" w:rsidRPr="00317070">
        <w:rPr>
          <w:rFonts w:cs="David" w:hint="cs"/>
          <w:rtl/>
        </w:rPr>
        <w:t xml:space="preserve">עשויים </w:t>
      </w:r>
      <w:r w:rsidR="00DB2CCC" w:rsidRPr="00317070">
        <w:rPr>
          <w:rFonts w:cs="David" w:hint="cs"/>
          <w:rtl/>
        </w:rPr>
        <w:t>להתעורר, ותובנות באשר לאו</w:t>
      </w:r>
      <w:r>
        <w:rPr>
          <w:rFonts w:cs="David" w:hint="cs"/>
          <w:rtl/>
        </w:rPr>
        <w:t>פן ההתמודדות הראוי עם מקרים אלו</w:t>
      </w:r>
      <w:r w:rsidR="00DB2CCC" w:rsidRPr="00317070">
        <w:rPr>
          <w:rFonts w:cs="David" w:hint="cs"/>
          <w:rtl/>
        </w:rPr>
        <w:t>. בהתאם לפסיקה הנהוגה בקנדה, תניות ס</w:t>
      </w:r>
      <w:r w:rsidR="00A82168">
        <w:rPr>
          <w:rFonts w:cs="David" w:hint="cs"/>
          <w:rtl/>
        </w:rPr>
        <w:t>י</w:t>
      </w:r>
      <w:r w:rsidR="00DB2CCC" w:rsidRPr="00317070">
        <w:rPr>
          <w:rFonts w:cs="David" w:hint="cs"/>
          <w:rtl/>
        </w:rPr>
        <w:t>לוקין המונעות מיורשים לפנות לערכאות מכח זכות הנתונה להם על</w:t>
      </w:r>
      <w:r w:rsidR="00F42247">
        <w:rPr>
          <w:rFonts w:cs="David" w:hint="cs"/>
          <w:rtl/>
        </w:rPr>
        <w:t xml:space="preserve"> </w:t>
      </w:r>
      <w:r w:rsidR="00DB2CCC" w:rsidRPr="00317070">
        <w:rPr>
          <w:rFonts w:cs="David" w:hint="cs"/>
          <w:rtl/>
        </w:rPr>
        <w:t>פי חוק, קרי גם ללא הזדקקות לזכות הגישה כזכות חוקתית,</w:t>
      </w:r>
      <w:r>
        <w:rPr>
          <w:rStyle w:val="a3"/>
          <w:rtl/>
        </w:rPr>
        <w:footnoteReference w:id="84"/>
      </w:r>
      <w:r w:rsidR="00DB2CCC" w:rsidRPr="00317070">
        <w:rPr>
          <w:rFonts w:cs="David" w:hint="cs"/>
          <w:rtl/>
        </w:rPr>
        <w:t xml:space="preserve"> נוגדות את תקנת הציבור ואין לתת להן תוקף. לדעתנו, פסיקה זו מתאימה ליישום </w:t>
      </w:r>
      <w:r w:rsidR="0098574B">
        <w:rPr>
          <w:rFonts w:cs="David" w:hint="cs"/>
          <w:rtl/>
        </w:rPr>
        <w:t xml:space="preserve">גם </w:t>
      </w:r>
      <w:r w:rsidR="00DB2CCC" w:rsidRPr="00317070">
        <w:rPr>
          <w:rFonts w:cs="David" w:hint="cs"/>
          <w:rtl/>
        </w:rPr>
        <w:t>בישראל</w:t>
      </w:r>
      <w:r w:rsidR="0098574B">
        <w:rPr>
          <w:rFonts w:cs="David" w:hint="cs"/>
          <w:rtl/>
        </w:rPr>
        <w:t>, כגון ב</w:t>
      </w:r>
      <w:r w:rsidR="00DB2CCC" w:rsidRPr="00317070">
        <w:rPr>
          <w:rFonts w:cs="David" w:hint="cs"/>
          <w:rtl/>
        </w:rPr>
        <w:t xml:space="preserve">מקרים בהם תניית הסילוקין תמנע את אפשרות </w:t>
      </w:r>
      <w:r w:rsidR="00E87707">
        <w:rPr>
          <w:rFonts w:cs="David" w:hint="cs"/>
          <w:rtl/>
        </w:rPr>
        <w:t xml:space="preserve">המימוש </w:t>
      </w:r>
      <w:r w:rsidR="00DB2CCC" w:rsidRPr="00317070">
        <w:rPr>
          <w:rFonts w:cs="David" w:hint="cs"/>
          <w:rtl/>
        </w:rPr>
        <w:t>של יורש</w:t>
      </w:r>
      <w:r w:rsidR="00A82168">
        <w:rPr>
          <w:rFonts w:cs="David" w:hint="cs"/>
          <w:rtl/>
        </w:rPr>
        <w:t>,</w:t>
      </w:r>
      <w:r w:rsidR="00DB2CCC" w:rsidRPr="00317070">
        <w:rPr>
          <w:rFonts w:cs="David" w:hint="cs"/>
          <w:rtl/>
        </w:rPr>
        <w:t xml:space="preserve"> </w:t>
      </w:r>
      <w:r w:rsidR="00F11970">
        <w:rPr>
          <w:rFonts w:cs="David" w:hint="cs"/>
          <w:rtl/>
        </w:rPr>
        <w:t>ה</w:t>
      </w:r>
      <w:r w:rsidR="00DB2CCC" w:rsidRPr="00317070">
        <w:rPr>
          <w:rFonts w:cs="David" w:hint="cs"/>
          <w:rtl/>
        </w:rPr>
        <w:t>זכאי לממש את זכותו בהתאם להוראות סעיף 56 לחוק הירושה, אשר קובע את הזכות למזונות מן הע</w:t>
      </w:r>
      <w:r w:rsidR="00A82168">
        <w:rPr>
          <w:rFonts w:cs="David" w:hint="cs"/>
          <w:rtl/>
        </w:rPr>
        <w:t>י</w:t>
      </w:r>
      <w:r w:rsidR="00DB2CCC" w:rsidRPr="00317070">
        <w:rPr>
          <w:rFonts w:cs="David" w:hint="cs"/>
          <w:rtl/>
        </w:rPr>
        <w:t>זבון. כפי שציין הנשיא (כתוארו אז) שמגר: "דיני המזונות מן העזבון מהווים חריג לכלל על פיו רצון המצווה מכריע. אין מקום להשוואה בין מזונות מהחיים ומזונות מן העזבון. במה דברים אמורים: מזונות מהחיים חלים מכוח הדין האישי. מזונות מן העזבון הוא מוסד מהדין הכללי. [...] פטור האב מחיוב במזונות הוא מקרה נדיר. בתחום המזונות מן העזבון מתהפכים היוצרות. רשאי אב להדיר את בנו מעזבונו. בית משפט יתן תוקף משפטי מלא להדרה כאמור [...].</w:t>
      </w:r>
      <w:r w:rsidR="00DB2CCC" w:rsidRPr="00317070">
        <w:rPr>
          <w:rFonts w:cs="David"/>
        </w:rPr>
        <w:t> </w:t>
      </w:r>
      <w:r w:rsidR="00DB2CCC" w:rsidRPr="00317070">
        <w:rPr>
          <w:rFonts w:cs="David" w:hint="cs"/>
          <w:rtl/>
        </w:rPr>
        <w:t>אולם, אף לרצון המצווה קיים גבול. הסייג הוא מניעת נסיבות בהן קרוב משפחה מדרגה ראשונה של המוריש יהווה נטל בלתי סביר על החברה. מוסד המזונות מן העזבון משקף את הרעיון, כי עצם הקירבה המשפחתית מהווה צידוק להטלת החיוב במזונות, במקרים מוגדרים, על העזבון."</w:t>
      </w:r>
      <w:r>
        <w:rPr>
          <w:rStyle w:val="a3"/>
          <w:rtl/>
        </w:rPr>
        <w:footnoteReference w:id="85"/>
      </w:r>
      <w:r w:rsidR="00DB2CCC" w:rsidRPr="00317070">
        <w:rPr>
          <w:rFonts w:cs="David" w:hint="cs"/>
          <w:rtl/>
        </w:rPr>
        <w:t xml:space="preserve"> אם כן, הזכות המהותית למזונות מן הע</w:t>
      </w:r>
      <w:r w:rsidR="00E87707">
        <w:rPr>
          <w:rFonts w:cs="David" w:hint="cs"/>
          <w:rtl/>
        </w:rPr>
        <w:t>י</w:t>
      </w:r>
      <w:r w:rsidR="00DB2CCC" w:rsidRPr="00317070">
        <w:rPr>
          <w:rFonts w:cs="David" w:hint="cs"/>
          <w:rtl/>
        </w:rPr>
        <w:t xml:space="preserve">זבון, כוללת גם את זכות הגישה לערכאות הנדרשת לשם מימושה. תניית סילוקין המטילה מגבלה על זכויות אלו, אשר </w:t>
      </w:r>
      <w:r>
        <w:rPr>
          <w:rFonts w:cs="David" w:hint="cs"/>
          <w:rtl/>
        </w:rPr>
        <w:t xml:space="preserve">אכיפתה תמנע מהזכאי את </w:t>
      </w:r>
      <w:r w:rsidR="00DB2CCC" w:rsidRPr="00317070">
        <w:rPr>
          <w:rFonts w:cs="David" w:hint="cs"/>
          <w:rtl/>
        </w:rPr>
        <w:t>מזונות</w:t>
      </w:r>
      <w:r>
        <w:rPr>
          <w:rFonts w:cs="David" w:hint="cs"/>
          <w:rtl/>
        </w:rPr>
        <w:t>יו</w:t>
      </w:r>
      <w:r w:rsidR="00DB2CCC" w:rsidRPr="00317070">
        <w:rPr>
          <w:rFonts w:cs="David" w:hint="cs"/>
          <w:rtl/>
        </w:rPr>
        <w:t xml:space="preserve"> (או </w:t>
      </w:r>
      <w:r w:rsidR="00DB2CCC" w:rsidRPr="00B9272F">
        <w:rPr>
          <w:rFonts w:cs="David" w:hint="cs"/>
          <w:rtl/>
        </w:rPr>
        <w:t>לכל הפחות</w:t>
      </w:r>
      <w:r w:rsidRPr="00B9272F">
        <w:rPr>
          <w:rFonts w:cs="David" w:hint="cs"/>
          <w:rtl/>
        </w:rPr>
        <w:t xml:space="preserve"> תמנע</w:t>
      </w:r>
      <w:r w:rsidR="00DB2CCC" w:rsidRPr="00B9272F">
        <w:rPr>
          <w:rFonts w:cs="David" w:hint="cs"/>
          <w:rtl/>
        </w:rPr>
        <w:t xml:space="preserve"> בירור מעמיק בשאלת זכאותו ונזקקותו), </w:t>
      </w:r>
      <w:r w:rsidR="0098574B" w:rsidRPr="00B9272F">
        <w:rPr>
          <w:rFonts w:cs="David" w:hint="cs"/>
          <w:rtl/>
        </w:rPr>
        <w:t xml:space="preserve">ראוי שתתבטל </w:t>
      </w:r>
      <w:r w:rsidRPr="00B9272F">
        <w:rPr>
          <w:rFonts w:cs="David" w:hint="cs"/>
          <w:rtl/>
        </w:rPr>
        <w:t>בשל פגיעתה הקשה ב</w:t>
      </w:r>
      <w:r w:rsidR="00DB2CCC" w:rsidRPr="00B9272F">
        <w:rPr>
          <w:rFonts w:cs="David" w:hint="cs"/>
          <w:rtl/>
        </w:rPr>
        <w:t>תקנת הציבור</w:t>
      </w:r>
      <w:r w:rsidRPr="00B9272F">
        <w:rPr>
          <w:rFonts w:cs="David" w:hint="cs"/>
          <w:rtl/>
        </w:rPr>
        <w:t>.</w:t>
      </w:r>
      <w:r>
        <w:rPr>
          <w:rStyle w:val="a3"/>
          <w:rtl/>
        </w:rPr>
        <w:footnoteReference w:id="86"/>
      </w:r>
      <w:r w:rsidRPr="00B9272F">
        <w:rPr>
          <w:rFonts w:cs="David" w:hint="cs"/>
          <w:rtl/>
        </w:rPr>
        <w:t xml:space="preserve"> </w:t>
      </w:r>
      <w:r w:rsidR="00317070" w:rsidRPr="00B9272F">
        <w:rPr>
          <w:rFonts w:cs="David" w:hint="cs"/>
          <w:rtl/>
        </w:rPr>
        <w:t xml:space="preserve">כפי </w:t>
      </w:r>
      <w:r w:rsidR="0042792E" w:rsidRPr="00B9272F">
        <w:rPr>
          <w:rFonts w:cs="David" w:hint="cs"/>
          <w:rtl/>
        </w:rPr>
        <w:t>שמוצדק</w:t>
      </w:r>
      <w:r w:rsidR="00317070" w:rsidRPr="00B9272F">
        <w:rPr>
          <w:rFonts w:cs="David" w:hint="cs"/>
          <w:rtl/>
        </w:rPr>
        <w:t xml:space="preserve"> להגביל את רצון המצווה</w:t>
      </w:r>
      <w:r w:rsidR="00A51BF1">
        <w:rPr>
          <w:rFonts w:cs="David" w:hint="cs"/>
          <w:rtl/>
        </w:rPr>
        <w:t>,</w:t>
      </w:r>
      <w:r w:rsidR="00317070" w:rsidRPr="00B9272F">
        <w:rPr>
          <w:rFonts w:cs="David" w:hint="cs"/>
          <w:rtl/>
        </w:rPr>
        <w:t xml:space="preserve"> שהדיר </w:t>
      </w:r>
      <w:r w:rsidR="002B0625" w:rsidRPr="00B9272F">
        <w:rPr>
          <w:rFonts w:cs="David" w:hint="cs"/>
          <w:rtl/>
        </w:rPr>
        <w:t>זכאי למזונות מהעיזבון</w:t>
      </w:r>
      <w:r w:rsidR="00317070" w:rsidRPr="00B9272F">
        <w:rPr>
          <w:rFonts w:cs="David" w:hint="cs"/>
          <w:rtl/>
        </w:rPr>
        <w:t>, כך מוצדק להגביל את</w:t>
      </w:r>
      <w:r w:rsidR="00317070">
        <w:rPr>
          <w:rFonts w:cs="David" w:hint="cs"/>
          <w:rtl/>
        </w:rPr>
        <w:t xml:space="preserve"> רצון המצווה אשר קבע תניית סילוקין שמטרתה למנוע </w:t>
      </w:r>
      <w:r w:rsidR="002B0625">
        <w:rPr>
          <w:rFonts w:cs="David" w:hint="cs"/>
          <w:rtl/>
        </w:rPr>
        <w:t>מזכאי למזונות מהעיזבון את הירושה המגיעה לו על פי דין</w:t>
      </w:r>
      <w:r w:rsidR="00317070">
        <w:rPr>
          <w:rFonts w:cs="David" w:hint="cs"/>
          <w:rtl/>
        </w:rPr>
        <w:t>.</w:t>
      </w:r>
      <w:r w:rsidR="005134D7">
        <w:rPr>
          <w:rFonts w:cs="David" w:hint="cs"/>
          <w:rtl/>
        </w:rPr>
        <w:t xml:space="preserve"> על</w:t>
      </w:r>
      <w:r w:rsidR="00A51BF1">
        <w:rPr>
          <w:rFonts w:cs="David" w:hint="cs"/>
          <w:rtl/>
        </w:rPr>
        <w:t xml:space="preserve"> </w:t>
      </w:r>
      <w:r w:rsidR="005134D7">
        <w:rPr>
          <w:rFonts w:cs="David" w:hint="cs"/>
          <w:rtl/>
        </w:rPr>
        <w:t xml:space="preserve">כן, </w:t>
      </w:r>
      <w:r w:rsidR="002B0625">
        <w:rPr>
          <w:rFonts w:cs="David" w:hint="cs"/>
          <w:rtl/>
        </w:rPr>
        <w:t>ב</w:t>
      </w:r>
      <w:r w:rsidR="005134D7">
        <w:rPr>
          <w:rFonts w:cs="David" w:hint="cs"/>
          <w:rtl/>
        </w:rPr>
        <w:t xml:space="preserve">מקרים מעין אלו, אנו מציעים </w:t>
      </w:r>
      <w:r w:rsidR="0098574B">
        <w:rPr>
          <w:rFonts w:cs="David" w:hint="cs"/>
          <w:rtl/>
        </w:rPr>
        <w:t xml:space="preserve">לאמץ את </w:t>
      </w:r>
      <w:r w:rsidR="005134D7">
        <w:rPr>
          <w:rFonts w:cs="David" w:hint="cs"/>
          <w:rtl/>
        </w:rPr>
        <w:t xml:space="preserve">מודל </w:t>
      </w:r>
      <w:r w:rsidR="00F11970">
        <w:rPr>
          <w:rFonts w:cs="David" w:hint="cs"/>
          <w:rtl/>
        </w:rPr>
        <w:t xml:space="preserve">התוקף </w:t>
      </w:r>
      <w:r w:rsidR="005134D7">
        <w:rPr>
          <w:rFonts w:cs="David" w:hint="cs"/>
          <w:rtl/>
        </w:rPr>
        <w:t>המותנה. קרי, בית המשפט יוכל לפסול תניי</w:t>
      </w:r>
      <w:r w:rsidR="00F11970">
        <w:rPr>
          <w:rFonts w:cs="David" w:hint="cs"/>
          <w:rtl/>
        </w:rPr>
        <w:t>ת סילוקין מסוימת</w:t>
      </w:r>
      <w:r w:rsidR="005134D7">
        <w:rPr>
          <w:rFonts w:cs="David" w:hint="cs"/>
          <w:rtl/>
        </w:rPr>
        <w:t>, ולקבוע שאינה תקפה</w:t>
      </w:r>
      <w:r w:rsidR="002B0625">
        <w:rPr>
          <w:rFonts w:cs="David" w:hint="cs"/>
          <w:rtl/>
        </w:rPr>
        <w:t xml:space="preserve"> ככל שהיא נוגעת לזכאי למזונות מהעיזבון</w:t>
      </w:r>
      <w:r w:rsidR="005134D7">
        <w:rPr>
          <w:rFonts w:cs="David" w:hint="cs"/>
          <w:rtl/>
        </w:rPr>
        <w:t xml:space="preserve">, לאחר </w:t>
      </w:r>
      <w:r w:rsidR="00F11970">
        <w:rPr>
          <w:rFonts w:cs="David" w:hint="cs"/>
          <w:rtl/>
        </w:rPr>
        <w:t>ש</w:t>
      </w:r>
      <w:r w:rsidR="005134D7">
        <w:rPr>
          <w:rFonts w:cs="David" w:hint="cs"/>
          <w:rtl/>
        </w:rPr>
        <w:t>מצא כי התנאים שנקבעו בה נוגדים כשלעצמם את תקנת הציבור, זאת אף מבלי להידרש לבחינת תום</w:t>
      </w:r>
      <w:r w:rsidR="00A51BF1">
        <w:rPr>
          <w:rFonts w:cs="David" w:hint="cs"/>
          <w:rtl/>
        </w:rPr>
        <w:t xml:space="preserve"> </w:t>
      </w:r>
      <w:r w:rsidR="005134D7">
        <w:rPr>
          <w:rFonts w:cs="David" w:hint="cs"/>
          <w:rtl/>
        </w:rPr>
        <w:t>הלב של</w:t>
      </w:r>
      <w:r>
        <w:rPr>
          <w:rFonts w:cs="David" w:hint="cs"/>
          <w:rtl/>
        </w:rPr>
        <w:t xml:space="preserve"> הנהנה או לקיומה של עילה סבירה.</w:t>
      </w:r>
    </w:p>
    <w:p w14:paraId="4135FD80" w14:textId="5E2703BC" w:rsidR="00C64BC0" w:rsidRDefault="00CE7BBB" w:rsidP="007D1DB6">
      <w:pPr>
        <w:pStyle w:val="filenumber0"/>
        <w:bidi/>
        <w:spacing w:beforeAutospacing="0" w:after="0" w:afterAutospacing="0" w:line="360" w:lineRule="auto"/>
        <w:ind w:firstLine="360"/>
        <w:jc w:val="both"/>
        <w:rPr>
          <w:rFonts w:cs="David"/>
          <w:rtl/>
        </w:rPr>
      </w:pPr>
      <w:r>
        <w:rPr>
          <w:rFonts w:cs="David" w:hint="cs"/>
          <w:rtl/>
        </w:rPr>
        <w:t xml:space="preserve">כאמור, </w:t>
      </w:r>
      <w:r w:rsidR="006473A9">
        <w:rPr>
          <w:rFonts w:cs="David" w:hint="cs"/>
          <w:rtl/>
        </w:rPr>
        <w:t xml:space="preserve">המתח שבין תניית סילוקין לבין תקנת הציבור עשוי לבוא לידי ביטוי במגוון </w:t>
      </w:r>
      <w:r w:rsidR="002B0625">
        <w:rPr>
          <w:rFonts w:cs="David" w:hint="cs"/>
          <w:rtl/>
        </w:rPr>
        <w:t>מצבים, שחלק מהם לא התעוררו בפסיקה הישראלית</w:t>
      </w:r>
      <w:r w:rsidR="006473A9">
        <w:rPr>
          <w:rFonts w:cs="David" w:hint="cs"/>
          <w:rtl/>
        </w:rPr>
        <w:t>. פסק</w:t>
      </w:r>
      <w:r w:rsidR="00A51BF1">
        <w:rPr>
          <w:rFonts w:cs="David" w:hint="cs"/>
          <w:rtl/>
        </w:rPr>
        <w:t xml:space="preserve"> </w:t>
      </w:r>
      <w:r w:rsidR="006473A9">
        <w:rPr>
          <w:rFonts w:cs="David" w:hint="cs"/>
          <w:rtl/>
        </w:rPr>
        <w:t xml:space="preserve">דין ותיק של בית המשפט העליון בניו-ג'רזי מספק דוגמה לאופן שבו תניית סילוקין </w:t>
      </w:r>
      <w:r>
        <w:rPr>
          <w:rFonts w:cs="David" w:hint="cs"/>
          <w:rtl/>
        </w:rPr>
        <w:t>מתנגשת ישירות</w:t>
      </w:r>
      <w:r w:rsidR="006473A9">
        <w:rPr>
          <w:rFonts w:cs="David" w:hint="cs"/>
          <w:rtl/>
        </w:rPr>
        <w:t xml:space="preserve"> עם תקנת הציבור. בעניין </w:t>
      </w:r>
      <w:r w:rsidR="006473A9" w:rsidRPr="00063AE7">
        <w:rPr>
          <w:rFonts w:cs="David"/>
          <w:b/>
          <w:bCs/>
          <w:i/>
          <w:iCs/>
        </w:rPr>
        <w:t xml:space="preserve">Alper v. </w:t>
      </w:r>
      <w:r w:rsidR="00D46FA6" w:rsidRPr="00063AE7">
        <w:rPr>
          <w:rFonts w:cs="David"/>
          <w:b/>
          <w:bCs/>
          <w:i/>
          <w:iCs/>
        </w:rPr>
        <w:t>A</w:t>
      </w:r>
      <w:r w:rsidR="006473A9" w:rsidRPr="00063AE7">
        <w:rPr>
          <w:rFonts w:cs="David"/>
          <w:b/>
          <w:bCs/>
          <w:i/>
          <w:iCs/>
        </w:rPr>
        <w:t>lper</w:t>
      </w:r>
      <w:r w:rsidR="006473A9">
        <w:rPr>
          <w:rFonts w:cs="David" w:hint="cs"/>
          <w:i/>
          <w:iCs/>
          <w:rtl/>
        </w:rPr>
        <w:t xml:space="preserve"> </w:t>
      </w:r>
      <w:r w:rsidR="006473A9">
        <w:rPr>
          <w:rFonts w:cs="David" w:hint="cs"/>
          <w:rtl/>
        </w:rPr>
        <w:t xml:space="preserve">נדונה תניית סילוקין </w:t>
      </w:r>
      <w:r w:rsidR="00043CAB">
        <w:rPr>
          <w:rFonts w:cs="David" w:hint="cs"/>
          <w:rtl/>
        </w:rPr>
        <w:t xml:space="preserve">שבה ציווה המצווה כי אם </w:t>
      </w:r>
      <w:r w:rsidR="00F019BB">
        <w:rPr>
          <w:rFonts w:cs="David" w:hint="cs"/>
          <w:rtl/>
        </w:rPr>
        <w:t>אחד</w:t>
      </w:r>
      <w:r w:rsidR="00043CAB">
        <w:rPr>
          <w:rFonts w:cs="David" w:hint="cs"/>
          <w:rtl/>
        </w:rPr>
        <w:t xml:space="preserve"> מילדיו או נכדיו </w:t>
      </w:r>
      <w:r w:rsidR="00F019BB">
        <w:rPr>
          <w:rFonts w:cs="David" w:hint="cs"/>
          <w:rtl/>
        </w:rPr>
        <w:t>י</w:t>
      </w:r>
      <w:r w:rsidR="00043CAB">
        <w:rPr>
          <w:rFonts w:cs="David" w:hint="cs"/>
          <w:rtl/>
        </w:rPr>
        <w:t xml:space="preserve">תקוף </w:t>
      </w:r>
      <w:r w:rsidR="00F019BB">
        <w:rPr>
          <w:rFonts w:cs="David" w:hint="cs"/>
          <w:rtl/>
        </w:rPr>
        <w:t xml:space="preserve">בערכאות </w:t>
      </w:r>
      <w:r w:rsidR="00043CAB">
        <w:rPr>
          <w:rFonts w:cs="David" w:hint="cs"/>
          <w:rtl/>
        </w:rPr>
        <w:t xml:space="preserve">את תוקף הצוואה או </w:t>
      </w:r>
      <w:r w:rsidR="00F019BB">
        <w:rPr>
          <w:rFonts w:cs="David" w:hint="cs"/>
          <w:rtl/>
        </w:rPr>
        <w:t>ינסה לשנות את חלוקת</w:t>
      </w:r>
      <w:r w:rsidR="00043CAB">
        <w:rPr>
          <w:rFonts w:cs="David" w:hint="cs"/>
          <w:rtl/>
        </w:rPr>
        <w:t xml:space="preserve"> העז</w:t>
      </w:r>
      <w:r>
        <w:rPr>
          <w:rFonts w:cs="David" w:hint="cs"/>
          <w:rtl/>
        </w:rPr>
        <w:t>י</w:t>
      </w:r>
      <w:r w:rsidR="00043CAB">
        <w:rPr>
          <w:rFonts w:cs="David" w:hint="cs"/>
          <w:rtl/>
        </w:rPr>
        <w:t>בון, אזי כל חלוקת הרכוש שנקבעה בצוואה תבוטל</w:t>
      </w:r>
      <w:r w:rsidR="00976B27">
        <w:rPr>
          <w:rFonts w:cs="David" w:hint="cs"/>
          <w:rtl/>
        </w:rPr>
        <w:t xml:space="preserve">, </w:t>
      </w:r>
      <w:r>
        <w:rPr>
          <w:rFonts w:cs="David" w:hint="cs"/>
          <w:rtl/>
        </w:rPr>
        <w:t xml:space="preserve">וכל הנהנים על פי הצוואה יאבדו את חלקם, </w:t>
      </w:r>
      <w:r w:rsidR="00976B27">
        <w:rPr>
          <w:rFonts w:cs="David" w:hint="cs"/>
          <w:rtl/>
        </w:rPr>
        <w:t>ללא כל התחשבות בשאלה אם הנהנה לקח חלק בתקיפת הצוואה. במקרה כזה, נקבע בתנייה כי כלל הע</w:t>
      </w:r>
      <w:r>
        <w:rPr>
          <w:rFonts w:cs="David" w:hint="cs"/>
          <w:rtl/>
        </w:rPr>
        <w:t>י</w:t>
      </w:r>
      <w:r w:rsidR="00976B27">
        <w:rPr>
          <w:rFonts w:cs="David" w:hint="cs"/>
          <w:rtl/>
        </w:rPr>
        <w:t>זבון יעבור לאחת מבנותיו של המצווה.</w:t>
      </w:r>
      <w:r>
        <w:rPr>
          <w:rStyle w:val="a3"/>
          <w:rtl/>
        </w:rPr>
        <w:footnoteReference w:id="87"/>
      </w:r>
      <w:r>
        <w:rPr>
          <w:rFonts w:cs="David" w:hint="cs"/>
          <w:rtl/>
        </w:rPr>
        <w:tab/>
      </w:r>
    </w:p>
    <w:p w14:paraId="0B38AFD7" w14:textId="15833B49" w:rsidR="00E3280B" w:rsidRDefault="00CE7BBB" w:rsidP="00A51BF1">
      <w:pPr>
        <w:pStyle w:val="filenumber0"/>
        <w:bidi/>
        <w:spacing w:beforeAutospacing="0" w:after="0" w:afterAutospacing="0" w:line="360" w:lineRule="auto"/>
        <w:ind w:firstLine="360"/>
        <w:jc w:val="both"/>
        <w:rPr>
          <w:rFonts w:cs="David"/>
          <w:rtl/>
        </w:rPr>
      </w:pPr>
      <w:r>
        <w:rPr>
          <w:rFonts w:cs="David" w:hint="cs"/>
          <w:rtl/>
        </w:rPr>
        <w:t>המצווה חילק את עזבונו במנות שונות לשבעה מתוך שמונת ילדיו</w:t>
      </w:r>
      <w:r w:rsidR="00A011AA">
        <w:rPr>
          <w:rFonts w:cs="David" w:hint="cs"/>
          <w:rtl/>
        </w:rPr>
        <w:t xml:space="preserve"> וכן</w:t>
      </w:r>
      <w:r>
        <w:rPr>
          <w:rFonts w:cs="David" w:hint="cs"/>
          <w:rtl/>
        </w:rPr>
        <w:t xml:space="preserve"> לילדיה של הבת השמינית</w:t>
      </w:r>
      <w:r w:rsidR="00A51BF1">
        <w:rPr>
          <w:rFonts w:cs="David" w:hint="cs"/>
          <w:rtl/>
        </w:rPr>
        <w:t>,</w:t>
      </w:r>
      <w:r>
        <w:rPr>
          <w:rFonts w:cs="David" w:hint="cs"/>
          <w:rtl/>
        </w:rPr>
        <w:t xml:space="preserve"> אשר </w:t>
      </w:r>
      <w:r w:rsidR="00A011AA">
        <w:rPr>
          <w:rFonts w:cs="David" w:hint="cs"/>
          <w:rtl/>
        </w:rPr>
        <w:t>כשלעצמה נושלה מכל חלק בצוואה</w:t>
      </w:r>
      <w:r>
        <w:rPr>
          <w:rFonts w:cs="David" w:hint="cs"/>
          <w:rtl/>
        </w:rPr>
        <w:t>.</w:t>
      </w:r>
      <w:r>
        <w:rPr>
          <w:rStyle w:val="a3"/>
          <w:rtl/>
        </w:rPr>
        <w:footnoteReference w:id="88"/>
      </w:r>
      <w:r>
        <w:rPr>
          <w:rFonts w:cs="David" w:hint="cs"/>
          <w:rtl/>
        </w:rPr>
        <w:t xml:space="preserve"> </w:t>
      </w:r>
      <w:r w:rsidR="00C7458F">
        <w:rPr>
          <w:rFonts w:cs="David" w:hint="cs"/>
          <w:rtl/>
        </w:rPr>
        <w:t>הבת אשר הודרה מהצוואה, הגישה תביעה לבית משפט כנגד תוקפה של הצוואה וטענה להשפעה בלתי הוגנת על המצווה מצד אחותה</w:t>
      </w:r>
      <w:r w:rsidR="00A51BF1">
        <w:rPr>
          <w:rFonts w:cs="David" w:hint="cs"/>
          <w:rtl/>
        </w:rPr>
        <w:t>,</w:t>
      </w:r>
      <w:r w:rsidR="00C7458F">
        <w:rPr>
          <w:rFonts w:cs="David" w:hint="cs"/>
          <w:rtl/>
        </w:rPr>
        <w:t xml:space="preserve"> אשר נקבעה כמנהלת הע</w:t>
      </w:r>
      <w:r w:rsidR="00E235E6">
        <w:rPr>
          <w:rFonts w:cs="David" w:hint="cs"/>
          <w:rtl/>
        </w:rPr>
        <w:t>י</w:t>
      </w:r>
      <w:r w:rsidR="00C7458F">
        <w:rPr>
          <w:rFonts w:cs="David" w:hint="cs"/>
          <w:rtl/>
        </w:rPr>
        <w:t xml:space="preserve">זבון. </w:t>
      </w:r>
      <w:r w:rsidR="006473A9">
        <w:rPr>
          <w:rFonts w:cs="David" w:hint="cs"/>
          <w:rtl/>
        </w:rPr>
        <w:t xml:space="preserve">ניסוחה של </w:t>
      </w:r>
      <w:proofErr w:type="spellStart"/>
      <w:r w:rsidR="006473A9">
        <w:rPr>
          <w:rFonts w:cs="David" w:hint="cs"/>
          <w:rtl/>
        </w:rPr>
        <w:t>התנייה</w:t>
      </w:r>
      <w:proofErr w:type="spellEnd"/>
      <w:r w:rsidR="006473A9">
        <w:rPr>
          <w:rFonts w:cs="David" w:hint="cs"/>
          <w:rtl/>
        </w:rPr>
        <w:t xml:space="preserve"> והנסיבות שנדונו בפסק הדין </w:t>
      </w:r>
      <w:r w:rsidR="00A51BF1">
        <w:rPr>
          <w:rFonts w:cs="David" w:hint="cs"/>
          <w:rtl/>
        </w:rPr>
        <w:t xml:space="preserve">מעוררים </w:t>
      </w:r>
      <w:r w:rsidR="006473A9">
        <w:rPr>
          <w:rFonts w:cs="David" w:hint="cs"/>
          <w:rtl/>
        </w:rPr>
        <w:t>את השאל</w:t>
      </w:r>
      <w:r w:rsidR="00A76F9A">
        <w:rPr>
          <w:rFonts w:cs="David" w:hint="cs"/>
          <w:rtl/>
        </w:rPr>
        <w:t>ה</w:t>
      </w:r>
      <w:r w:rsidR="006473A9">
        <w:rPr>
          <w:rFonts w:cs="David" w:hint="cs"/>
          <w:rtl/>
        </w:rPr>
        <w:t xml:space="preserve"> הבא</w:t>
      </w:r>
      <w:r w:rsidR="00A76F9A">
        <w:rPr>
          <w:rFonts w:cs="David" w:hint="cs"/>
          <w:rtl/>
        </w:rPr>
        <w:t>ה</w:t>
      </w:r>
      <w:r w:rsidR="006473A9">
        <w:rPr>
          <w:rFonts w:cs="David" w:hint="cs"/>
          <w:rtl/>
        </w:rPr>
        <w:t xml:space="preserve">: האם יכול </w:t>
      </w:r>
      <w:r w:rsidR="00F019BB">
        <w:rPr>
          <w:rFonts w:cs="David" w:hint="cs"/>
          <w:rtl/>
        </w:rPr>
        <w:t xml:space="preserve">מוריש לקבוע תניית סילוקין שלפיה תקיפת הצוואה על ידי נהנה אחד תגרום לכל </w:t>
      </w:r>
      <w:r w:rsidR="006473A9">
        <w:rPr>
          <w:rFonts w:cs="David" w:hint="cs"/>
          <w:rtl/>
        </w:rPr>
        <w:t xml:space="preserve">יתר היורשים </w:t>
      </w:r>
      <w:r w:rsidR="00F019BB">
        <w:rPr>
          <w:rFonts w:cs="David" w:hint="cs"/>
          <w:rtl/>
        </w:rPr>
        <w:t xml:space="preserve">לאבד את </w:t>
      </w:r>
      <w:r w:rsidR="006473A9">
        <w:rPr>
          <w:rFonts w:cs="David" w:hint="cs"/>
          <w:rtl/>
        </w:rPr>
        <w:t>חלקם?</w:t>
      </w:r>
      <w:r w:rsidR="00F019BB">
        <w:rPr>
          <w:rFonts w:cs="David" w:hint="cs"/>
          <w:rtl/>
        </w:rPr>
        <w:t xml:space="preserve"> </w:t>
      </w:r>
      <w:r w:rsidR="00C7458F">
        <w:rPr>
          <w:rFonts w:cs="David" w:hint="cs"/>
          <w:rtl/>
        </w:rPr>
        <w:t>בית המשפט העליון של מדינת ניו-ג'רזי</w:t>
      </w:r>
      <w:r w:rsidR="00D52723">
        <w:rPr>
          <w:rFonts w:cs="David" w:hint="cs"/>
          <w:rtl/>
        </w:rPr>
        <w:t xml:space="preserve"> דחה את הטענות בדבר השפעה בלתי הוגנת, ו</w:t>
      </w:r>
      <w:r w:rsidR="00A011AA">
        <w:rPr>
          <w:rFonts w:cs="David" w:hint="cs"/>
          <w:rtl/>
        </w:rPr>
        <w:t>פנה לבדוק את השאלה הנוגעת להפעלת</w:t>
      </w:r>
      <w:r w:rsidR="00D52723">
        <w:rPr>
          <w:rFonts w:cs="David" w:hint="cs"/>
          <w:rtl/>
        </w:rPr>
        <w:t xml:space="preserve"> התנייה. </w:t>
      </w:r>
      <w:r w:rsidR="00A76F9A">
        <w:rPr>
          <w:rFonts w:cs="David" w:hint="cs"/>
          <w:rtl/>
        </w:rPr>
        <w:t xml:space="preserve">לאחר שפירש את תניית סילוקין </w:t>
      </w:r>
      <w:r w:rsidR="005D7CB9">
        <w:rPr>
          <w:rFonts w:cs="David" w:hint="cs"/>
          <w:rtl/>
        </w:rPr>
        <w:t xml:space="preserve">הגיע </w:t>
      </w:r>
      <w:r w:rsidR="00A76F9A">
        <w:rPr>
          <w:rFonts w:cs="David" w:hint="cs"/>
          <w:rtl/>
        </w:rPr>
        <w:t xml:space="preserve">בית המשפט </w:t>
      </w:r>
      <w:r w:rsidR="005D7CB9">
        <w:rPr>
          <w:rFonts w:cs="David" w:hint="cs"/>
          <w:rtl/>
        </w:rPr>
        <w:t xml:space="preserve">למסקנה לפיה </w:t>
      </w:r>
      <w:r w:rsidR="00A76F9A">
        <w:rPr>
          <w:rFonts w:cs="David" w:hint="cs"/>
          <w:rtl/>
        </w:rPr>
        <w:t>יש להפעיל את התנייה</w:t>
      </w:r>
      <w:r w:rsidR="005D7CB9">
        <w:rPr>
          <w:rFonts w:cs="David" w:hint="cs"/>
          <w:rtl/>
        </w:rPr>
        <w:t xml:space="preserve"> </w:t>
      </w:r>
      <w:r w:rsidR="00A76F9A">
        <w:rPr>
          <w:rFonts w:cs="David" w:hint="cs"/>
          <w:rtl/>
        </w:rPr>
        <w:t xml:space="preserve">גם כאשר התוצאה היא סילוקם של יתר הנהנים על פי הצוואה </w:t>
      </w:r>
      <w:r w:rsidR="005D7CB9">
        <w:rPr>
          <w:rFonts w:cs="David" w:hint="cs"/>
          <w:rtl/>
        </w:rPr>
        <w:t>אף אם לא לקחו חלק בהליך.</w:t>
      </w:r>
      <w:r>
        <w:rPr>
          <w:rStyle w:val="a3"/>
          <w:rtl/>
        </w:rPr>
        <w:footnoteReference w:id="89"/>
      </w:r>
      <w:r w:rsidR="005D7CB9">
        <w:rPr>
          <w:rFonts w:cs="David" w:hint="cs"/>
          <w:rtl/>
        </w:rPr>
        <w:t xml:space="preserve"> </w:t>
      </w:r>
      <w:r w:rsidR="006A0FC5">
        <w:rPr>
          <w:rFonts w:cs="David" w:hint="cs"/>
          <w:rtl/>
        </w:rPr>
        <w:t xml:space="preserve">לדעתנו, </w:t>
      </w:r>
      <w:r w:rsidR="00DC03B5">
        <w:rPr>
          <w:rFonts w:cs="David" w:hint="cs"/>
          <w:rtl/>
        </w:rPr>
        <w:t xml:space="preserve">תנייה </w:t>
      </w:r>
      <w:r w:rsidR="00A011AA">
        <w:rPr>
          <w:rFonts w:cs="David" w:hint="cs"/>
          <w:rtl/>
        </w:rPr>
        <w:t>כאמור</w:t>
      </w:r>
      <w:r w:rsidR="00DC03B5">
        <w:rPr>
          <w:rFonts w:cs="David" w:hint="cs"/>
          <w:rtl/>
        </w:rPr>
        <w:t>, פוגעת בתקנת הציבור באופן המצדיק את פסילתה</w:t>
      </w:r>
      <w:r w:rsidR="00A51BF1">
        <w:rPr>
          <w:rFonts w:cs="David" w:hint="cs"/>
          <w:rtl/>
        </w:rPr>
        <w:t>,</w:t>
      </w:r>
      <w:r w:rsidR="00DC03B5">
        <w:rPr>
          <w:rFonts w:cs="David" w:hint="cs"/>
          <w:rtl/>
        </w:rPr>
        <w:t xml:space="preserve"> </w:t>
      </w:r>
      <w:r w:rsidR="00F77856">
        <w:rPr>
          <w:rFonts w:cs="David" w:hint="cs"/>
          <w:rtl/>
        </w:rPr>
        <w:t>בעיקר לאור חוסר הצדק שהתנהגות של אחד מבני המשפחה - תקיפת הצוואה בערכאות - תגרום לנישולם מהצוואה של כל יתר הנהנים אשר נמנעו מלתקוף את הצוואה בערכאות בשל תניית הסילוקין (או שלא הייתה להם סיבה לעשות כן מטעמים אחרים). לדעתנו, חוסר הצדק הגלום בתניית סילוקין</w:t>
      </w:r>
      <w:r w:rsidR="00A51BF1">
        <w:rPr>
          <w:rFonts w:cs="David" w:hint="cs"/>
          <w:rtl/>
        </w:rPr>
        <w:t>,</w:t>
      </w:r>
      <w:r w:rsidR="00F77856">
        <w:rPr>
          <w:rFonts w:cs="David" w:hint="cs"/>
          <w:rtl/>
        </w:rPr>
        <w:t xml:space="preserve"> המענישה את כל הנהנים בשל התנהגותו של נהנה אחד</w:t>
      </w:r>
      <w:r w:rsidR="00A51BF1">
        <w:rPr>
          <w:rFonts w:cs="David" w:hint="cs"/>
          <w:rtl/>
        </w:rPr>
        <w:t>,</w:t>
      </w:r>
      <w:r w:rsidR="00F77856">
        <w:rPr>
          <w:rFonts w:cs="David" w:hint="cs"/>
          <w:rtl/>
        </w:rPr>
        <w:t xml:space="preserve"> עולה כדי פגיעה בתקנת הציבור באופן המצדיק את ביטולה.</w:t>
      </w:r>
    </w:p>
    <w:p w14:paraId="66BC5877" w14:textId="77777777" w:rsidR="00895168" w:rsidRDefault="00CE7BBB" w:rsidP="00B9272F">
      <w:pPr>
        <w:pStyle w:val="filenumber0"/>
        <w:bidi/>
        <w:spacing w:beforeAutospacing="0" w:after="0" w:afterAutospacing="0" w:line="360" w:lineRule="auto"/>
        <w:ind w:firstLine="360"/>
        <w:jc w:val="both"/>
        <w:rPr>
          <w:rFonts w:cs="David"/>
          <w:rtl/>
        </w:rPr>
      </w:pPr>
      <w:r>
        <w:rPr>
          <w:rFonts w:cs="David" w:hint="cs"/>
          <w:rtl/>
        </w:rPr>
        <w:t>מקרים אלו</w:t>
      </w:r>
      <w:r w:rsidR="00A51BF1">
        <w:rPr>
          <w:rFonts w:cs="David" w:hint="cs"/>
          <w:rtl/>
        </w:rPr>
        <w:t>,</w:t>
      </w:r>
      <w:r>
        <w:rPr>
          <w:rFonts w:cs="David" w:hint="cs"/>
          <w:rtl/>
        </w:rPr>
        <w:t xml:space="preserve"> אשר התעוררו במדינות שונות, והאופן שבו התמודדו עמם בתי המשפט, מספקים תובנות חשובות אותן ניתן יהיה ליישם במקרים דומים שיתעוררו בישראל. </w:t>
      </w:r>
    </w:p>
    <w:p w14:paraId="629AABDD" w14:textId="77777777" w:rsidR="0016365A" w:rsidRDefault="0016365A" w:rsidP="0016365A">
      <w:pPr>
        <w:pStyle w:val="filenumber0"/>
        <w:bidi/>
        <w:spacing w:beforeAutospacing="0" w:after="0" w:afterAutospacing="0" w:line="360" w:lineRule="auto"/>
        <w:jc w:val="both"/>
        <w:rPr>
          <w:rFonts w:cs="David"/>
          <w:rtl/>
        </w:rPr>
      </w:pPr>
    </w:p>
    <w:p w14:paraId="62C026EF" w14:textId="77777777" w:rsidR="006660B2" w:rsidRDefault="00CE7BBB" w:rsidP="007C7FB0">
      <w:pPr>
        <w:pStyle w:val="filenumber0"/>
        <w:bidi/>
        <w:spacing w:beforeAutospacing="0" w:after="0" w:afterAutospacing="0" w:line="360" w:lineRule="auto"/>
        <w:jc w:val="both"/>
        <w:rPr>
          <w:rFonts w:cs="David"/>
          <w:b/>
          <w:bCs/>
          <w:u w:val="single"/>
        </w:rPr>
      </w:pPr>
      <w:r>
        <w:rPr>
          <w:rFonts w:cs="David" w:hint="cs"/>
          <w:b/>
          <w:bCs/>
          <w:u w:val="single"/>
          <w:rtl/>
        </w:rPr>
        <w:t>ו</w:t>
      </w:r>
      <w:r w:rsidR="007C7FB0">
        <w:rPr>
          <w:rFonts w:cs="David" w:hint="cs"/>
          <w:b/>
          <w:bCs/>
          <w:u w:val="single"/>
          <w:rtl/>
        </w:rPr>
        <w:t xml:space="preserve">. </w:t>
      </w:r>
      <w:r>
        <w:rPr>
          <w:rFonts w:cs="David" w:hint="cs"/>
          <w:b/>
          <w:bCs/>
          <w:u w:val="single"/>
          <w:rtl/>
        </w:rPr>
        <w:t>סיכום</w:t>
      </w:r>
    </w:p>
    <w:p w14:paraId="00A27D03" w14:textId="77777777" w:rsidR="00C700B1" w:rsidRPr="00ED4D4B" w:rsidRDefault="00C700B1" w:rsidP="00C700B1">
      <w:pPr>
        <w:pStyle w:val="filenumber0"/>
        <w:bidi/>
        <w:spacing w:beforeAutospacing="0" w:after="0" w:afterAutospacing="0" w:line="360" w:lineRule="auto"/>
        <w:ind w:left="720"/>
        <w:jc w:val="both"/>
        <w:rPr>
          <w:rFonts w:cs="David"/>
          <w:b/>
          <w:bCs/>
          <w:u w:val="single"/>
          <w:rtl/>
        </w:rPr>
      </w:pPr>
    </w:p>
    <w:p w14:paraId="74A29BED" w14:textId="549EECEA" w:rsidR="007A1B4D" w:rsidRPr="00DD2A7A" w:rsidRDefault="00CE7BBB" w:rsidP="00FA42D3">
      <w:pPr>
        <w:spacing w:line="360" w:lineRule="auto"/>
        <w:jc w:val="both"/>
        <w:rPr>
          <w:sz w:val="24"/>
          <w:szCs w:val="24"/>
          <w:rtl/>
        </w:rPr>
      </w:pPr>
      <w:r w:rsidRPr="00ED4D4B">
        <w:rPr>
          <w:sz w:val="24"/>
          <w:szCs w:val="24"/>
          <w:rtl/>
        </w:rPr>
        <w:t xml:space="preserve">צוואה </w:t>
      </w:r>
      <w:r w:rsidR="0016365A">
        <w:rPr>
          <w:rFonts w:hint="cs"/>
          <w:sz w:val="24"/>
          <w:szCs w:val="24"/>
          <w:rtl/>
        </w:rPr>
        <w:t>הכוללת תניית סילוקין</w:t>
      </w:r>
      <w:r w:rsidRPr="00ED4D4B">
        <w:rPr>
          <w:sz w:val="24"/>
          <w:szCs w:val="24"/>
          <w:rtl/>
        </w:rPr>
        <w:t xml:space="preserve"> </w:t>
      </w:r>
      <w:r w:rsidRPr="00ED4D4B">
        <w:rPr>
          <w:rFonts w:hint="cs"/>
          <w:sz w:val="24"/>
          <w:szCs w:val="24"/>
          <w:rtl/>
        </w:rPr>
        <w:t>מדגימה את הצורך ב</w:t>
      </w:r>
      <w:r w:rsidR="0016365A">
        <w:rPr>
          <w:rFonts w:hint="cs"/>
          <w:sz w:val="24"/>
          <w:szCs w:val="24"/>
          <w:rtl/>
        </w:rPr>
        <w:t xml:space="preserve">עריכת </w:t>
      </w:r>
      <w:r w:rsidRPr="00ED4D4B">
        <w:rPr>
          <w:sz w:val="24"/>
          <w:szCs w:val="24"/>
          <w:rtl/>
        </w:rPr>
        <w:t>איזון חוקתי ב</w:t>
      </w:r>
      <w:r w:rsidR="0016365A">
        <w:rPr>
          <w:rFonts w:hint="cs"/>
          <w:sz w:val="24"/>
          <w:szCs w:val="24"/>
          <w:rtl/>
        </w:rPr>
        <w:t>גדרי ה</w:t>
      </w:r>
      <w:r w:rsidRPr="00ED4D4B">
        <w:rPr>
          <w:sz w:val="24"/>
          <w:szCs w:val="24"/>
          <w:rtl/>
        </w:rPr>
        <w:t>משפט הפרטי בין זכותו של המצווה להגשמת רצונו האחרון</w:t>
      </w:r>
      <w:r w:rsidR="0016365A">
        <w:rPr>
          <w:rFonts w:hint="cs"/>
          <w:sz w:val="24"/>
          <w:szCs w:val="24"/>
          <w:rtl/>
        </w:rPr>
        <w:t xml:space="preserve"> לבין זכות הגישה לערכאות של הנהנה</w:t>
      </w:r>
      <w:r w:rsidRPr="00ED4D4B">
        <w:rPr>
          <w:sz w:val="24"/>
          <w:szCs w:val="24"/>
          <w:rtl/>
        </w:rPr>
        <w:t xml:space="preserve">. </w:t>
      </w:r>
      <w:r w:rsidRPr="00ED4D4B">
        <w:rPr>
          <w:rFonts w:hint="cs"/>
          <w:sz w:val="24"/>
          <w:szCs w:val="24"/>
          <w:rtl/>
        </w:rPr>
        <w:t xml:space="preserve">העדפה </w:t>
      </w:r>
      <w:r w:rsidR="00C17A34">
        <w:rPr>
          <w:rFonts w:hint="cs"/>
          <w:sz w:val="24"/>
          <w:szCs w:val="24"/>
          <w:rtl/>
        </w:rPr>
        <w:t xml:space="preserve">עקרונית גורפת </w:t>
      </w:r>
      <w:r w:rsidRPr="00ED4D4B">
        <w:rPr>
          <w:rFonts w:hint="cs"/>
          <w:sz w:val="24"/>
          <w:szCs w:val="24"/>
          <w:rtl/>
        </w:rPr>
        <w:t xml:space="preserve">של </w:t>
      </w:r>
      <w:r w:rsidRPr="00ED4D4B">
        <w:rPr>
          <w:sz w:val="24"/>
          <w:szCs w:val="24"/>
          <w:rtl/>
        </w:rPr>
        <w:t>אחת הזכויות</w:t>
      </w:r>
      <w:r>
        <w:rPr>
          <w:rFonts w:hint="cs"/>
          <w:sz w:val="24"/>
          <w:szCs w:val="24"/>
          <w:rtl/>
        </w:rPr>
        <w:t xml:space="preserve"> </w:t>
      </w:r>
      <w:r w:rsidR="00C17A34">
        <w:rPr>
          <w:rFonts w:hint="cs"/>
          <w:sz w:val="24"/>
          <w:szCs w:val="24"/>
          <w:rtl/>
        </w:rPr>
        <w:t xml:space="preserve">על פני רעותה תוצאתה </w:t>
      </w:r>
      <w:r>
        <w:rPr>
          <w:rFonts w:hint="cs"/>
          <w:sz w:val="24"/>
          <w:szCs w:val="24"/>
          <w:rtl/>
        </w:rPr>
        <w:t xml:space="preserve">בהכרח בלתי צודקת, שכן קיימים טעמים טובים התומכים </w:t>
      </w:r>
      <w:r w:rsidR="00C17A34">
        <w:rPr>
          <w:rFonts w:hint="cs"/>
          <w:sz w:val="24"/>
          <w:szCs w:val="24"/>
          <w:rtl/>
        </w:rPr>
        <w:t>במתן משקל של ממש ל</w:t>
      </w:r>
      <w:r>
        <w:rPr>
          <w:rFonts w:hint="cs"/>
          <w:sz w:val="24"/>
          <w:szCs w:val="24"/>
          <w:rtl/>
        </w:rPr>
        <w:t xml:space="preserve">כל אחת מהזכויות כשלעצמן. </w:t>
      </w:r>
      <w:r w:rsidRPr="00ED4D4B">
        <w:rPr>
          <w:sz w:val="24"/>
          <w:szCs w:val="24"/>
          <w:rtl/>
        </w:rPr>
        <w:t>על כן, חייב בית</w:t>
      </w:r>
      <w:r w:rsidR="005764E6">
        <w:rPr>
          <w:rFonts w:hint="cs"/>
          <w:sz w:val="24"/>
          <w:szCs w:val="24"/>
          <w:rtl/>
        </w:rPr>
        <w:t xml:space="preserve"> </w:t>
      </w:r>
      <w:r w:rsidRPr="00ED4D4B">
        <w:rPr>
          <w:sz w:val="24"/>
          <w:szCs w:val="24"/>
          <w:rtl/>
        </w:rPr>
        <w:t xml:space="preserve">המשפט </w:t>
      </w:r>
      <w:proofErr w:type="spellStart"/>
      <w:r w:rsidRPr="00ED4D4B">
        <w:rPr>
          <w:rFonts w:hint="cs"/>
          <w:sz w:val="24"/>
          <w:szCs w:val="24"/>
          <w:rtl/>
        </w:rPr>
        <w:t>ליתן</w:t>
      </w:r>
      <w:proofErr w:type="spellEnd"/>
      <w:r w:rsidRPr="00ED4D4B">
        <w:rPr>
          <w:rFonts w:hint="cs"/>
          <w:sz w:val="24"/>
          <w:szCs w:val="24"/>
          <w:rtl/>
        </w:rPr>
        <w:t xml:space="preserve"> את המשקל המתאים לכל זכות במקרה הקונקרטי</w:t>
      </w:r>
      <w:r w:rsidRPr="00ED4D4B">
        <w:rPr>
          <w:sz w:val="24"/>
          <w:szCs w:val="24"/>
          <w:rtl/>
        </w:rPr>
        <w:t xml:space="preserve">. </w:t>
      </w:r>
      <w:r w:rsidR="004B4632">
        <w:rPr>
          <w:rFonts w:hint="cs"/>
          <w:sz w:val="24"/>
          <w:szCs w:val="24"/>
          <w:rtl/>
        </w:rPr>
        <w:t>ה</w:t>
      </w:r>
      <w:r w:rsidRPr="00ED4D4B">
        <w:rPr>
          <w:rFonts w:hint="cs"/>
          <w:sz w:val="24"/>
          <w:szCs w:val="24"/>
          <w:rtl/>
        </w:rPr>
        <w:t xml:space="preserve">פסיקה </w:t>
      </w:r>
      <w:r w:rsidR="00241F6C">
        <w:rPr>
          <w:rFonts w:hint="cs"/>
          <w:sz w:val="24"/>
          <w:szCs w:val="24"/>
          <w:rtl/>
        </w:rPr>
        <w:t xml:space="preserve">הישראלית </w:t>
      </w:r>
      <w:r w:rsidR="004B4632">
        <w:rPr>
          <w:rFonts w:hint="cs"/>
          <w:sz w:val="24"/>
          <w:szCs w:val="24"/>
          <w:rtl/>
        </w:rPr>
        <w:t>אימצה את</w:t>
      </w:r>
      <w:r w:rsidR="00241F6C">
        <w:rPr>
          <w:rFonts w:hint="cs"/>
          <w:sz w:val="24"/>
          <w:szCs w:val="24"/>
          <w:rtl/>
        </w:rPr>
        <w:t xml:space="preserve"> מודל ההפעלה המותנית, </w:t>
      </w:r>
      <w:r w:rsidR="00DD2A7A">
        <w:rPr>
          <w:rFonts w:hint="cs"/>
          <w:sz w:val="24"/>
          <w:szCs w:val="24"/>
          <w:rtl/>
        </w:rPr>
        <w:t>שלפיו התנהלותו של הנהנה</w:t>
      </w:r>
      <w:r w:rsidR="005764E6">
        <w:rPr>
          <w:rFonts w:hint="cs"/>
          <w:sz w:val="24"/>
          <w:szCs w:val="24"/>
          <w:rtl/>
        </w:rPr>
        <w:t>,</w:t>
      </w:r>
      <w:r w:rsidR="00DD2A7A">
        <w:rPr>
          <w:rFonts w:hint="cs"/>
          <w:sz w:val="24"/>
          <w:szCs w:val="24"/>
          <w:rtl/>
        </w:rPr>
        <w:t xml:space="preserve"> למשל כזו הנובעת מעילה סבירה ובתום לב</w:t>
      </w:r>
      <w:r w:rsidR="005764E6">
        <w:rPr>
          <w:rFonts w:hint="cs"/>
          <w:sz w:val="24"/>
          <w:szCs w:val="24"/>
          <w:rtl/>
        </w:rPr>
        <w:t>,</w:t>
      </w:r>
      <w:r w:rsidR="00DD2A7A">
        <w:rPr>
          <w:rFonts w:hint="cs"/>
          <w:sz w:val="24"/>
          <w:szCs w:val="24"/>
          <w:rtl/>
        </w:rPr>
        <w:t xml:space="preserve"> מתגברת בנסיבות העניין על רצונו של המוריש למנוע פנייה לערכאות נגד הצוואה. </w:t>
      </w:r>
      <w:r w:rsidRPr="00ED4D4B">
        <w:rPr>
          <w:sz w:val="24"/>
          <w:szCs w:val="24"/>
          <w:rtl/>
        </w:rPr>
        <w:t>לדעתנו, גישה זו</w:t>
      </w:r>
      <w:r w:rsidRPr="00ED4D4B">
        <w:rPr>
          <w:rFonts w:hint="cs"/>
          <w:sz w:val="24"/>
          <w:szCs w:val="24"/>
          <w:rtl/>
        </w:rPr>
        <w:t xml:space="preserve"> </w:t>
      </w:r>
      <w:r w:rsidRPr="00ED4D4B">
        <w:rPr>
          <w:sz w:val="24"/>
          <w:szCs w:val="24"/>
          <w:rtl/>
        </w:rPr>
        <w:t xml:space="preserve">נותנת ביטוי ראוי לאיזון החוקתי </w:t>
      </w:r>
      <w:r w:rsidRPr="00317070">
        <w:rPr>
          <w:sz w:val="24"/>
          <w:szCs w:val="24"/>
          <w:rtl/>
        </w:rPr>
        <w:t>הנדרש.</w:t>
      </w:r>
      <w:r w:rsidRPr="00317070">
        <w:rPr>
          <w:rFonts w:hint="cs"/>
          <w:sz w:val="24"/>
          <w:szCs w:val="24"/>
          <w:rtl/>
        </w:rPr>
        <w:t xml:space="preserve"> </w:t>
      </w:r>
      <w:r w:rsidR="00DD2A7A">
        <w:rPr>
          <w:rFonts w:hint="cs"/>
          <w:sz w:val="24"/>
          <w:szCs w:val="24"/>
          <w:rtl/>
        </w:rPr>
        <w:t xml:space="preserve">בהקשר זה, </w:t>
      </w:r>
      <w:r w:rsidR="007039AE" w:rsidRPr="00317070">
        <w:rPr>
          <w:rFonts w:hint="cs"/>
          <w:sz w:val="24"/>
          <w:szCs w:val="24"/>
          <w:rtl/>
        </w:rPr>
        <w:t>ההלכה</w:t>
      </w:r>
      <w:r w:rsidR="007B3E18" w:rsidRPr="00317070">
        <w:rPr>
          <w:rFonts w:hint="cs"/>
          <w:sz w:val="24"/>
          <w:szCs w:val="24"/>
          <w:rtl/>
        </w:rPr>
        <w:t xml:space="preserve"> </w:t>
      </w:r>
      <w:r w:rsidR="007B3E18">
        <w:rPr>
          <w:rFonts w:hint="cs"/>
          <w:sz w:val="24"/>
          <w:szCs w:val="24"/>
          <w:rtl/>
        </w:rPr>
        <w:t>הוותיקה</w:t>
      </w:r>
      <w:r w:rsidR="007039AE">
        <w:rPr>
          <w:rFonts w:hint="cs"/>
          <w:sz w:val="24"/>
          <w:szCs w:val="24"/>
          <w:rtl/>
        </w:rPr>
        <w:t xml:space="preserve"> </w:t>
      </w:r>
      <w:r w:rsidR="00DD2A7A">
        <w:rPr>
          <w:rFonts w:hint="cs"/>
          <w:sz w:val="24"/>
          <w:szCs w:val="24"/>
          <w:rtl/>
        </w:rPr>
        <w:t xml:space="preserve">והעקרונית </w:t>
      </w:r>
      <w:r w:rsidR="007039AE">
        <w:rPr>
          <w:rFonts w:hint="cs"/>
          <w:sz w:val="24"/>
          <w:szCs w:val="24"/>
          <w:rtl/>
        </w:rPr>
        <w:t xml:space="preserve">שנקבעה בפרשת </w:t>
      </w:r>
      <w:r w:rsidR="007039AE">
        <w:rPr>
          <w:rFonts w:hint="cs"/>
          <w:b/>
          <w:bCs/>
          <w:sz w:val="24"/>
          <w:szCs w:val="24"/>
          <w:rtl/>
        </w:rPr>
        <w:t>אנגלמן</w:t>
      </w:r>
      <w:r w:rsidR="007039AE">
        <w:rPr>
          <w:rFonts w:hint="cs"/>
          <w:sz w:val="24"/>
          <w:szCs w:val="24"/>
          <w:rtl/>
        </w:rPr>
        <w:t xml:space="preserve">, עודנה רלוונטית וראויה </w:t>
      </w:r>
      <w:r w:rsidR="00DD2A7A">
        <w:rPr>
          <w:rFonts w:hint="cs"/>
          <w:sz w:val="24"/>
          <w:szCs w:val="24"/>
          <w:rtl/>
        </w:rPr>
        <w:t>ליישום בנסיבות דומות</w:t>
      </w:r>
      <w:r w:rsidR="00FA42D3">
        <w:rPr>
          <w:rFonts w:hint="cs"/>
          <w:sz w:val="24"/>
          <w:szCs w:val="24"/>
          <w:rtl/>
        </w:rPr>
        <w:t xml:space="preserve"> (בסוג מסוים של תניות סילוקין צרות)</w:t>
      </w:r>
      <w:r w:rsidR="00DD2A7A">
        <w:rPr>
          <w:rFonts w:hint="cs"/>
          <w:sz w:val="24"/>
          <w:szCs w:val="24"/>
          <w:rtl/>
        </w:rPr>
        <w:t xml:space="preserve">. </w:t>
      </w:r>
      <w:r w:rsidRPr="00ED4D4B">
        <w:rPr>
          <w:rFonts w:hint="cs"/>
          <w:sz w:val="24"/>
          <w:szCs w:val="24"/>
          <w:rtl/>
        </w:rPr>
        <w:t>עם זאת,</w:t>
      </w:r>
      <w:r w:rsidR="007039AE">
        <w:rPr>
          <w:rFonts w:hint="cs"/>
          <w:sz w:val="24"/>
          <w:szCs w:val="24"/>
          <w:rtl/>
        </w:rPr>
        <w:t xml:space="preserve"> יש להיות ערים </w:t>
      </w:r>
      <w:r w:rsidR="00DD2A7A">
        <w:rPr>
          <w:rFonts w:hint="cs"/>
          <w:sz w:val="24"/>
          <w:szCs w:val="24"/>
          <w:rtl/>
        </w:rPr>
        <w:t xml:space="preserve">לכך, </w:t>
      </w:r>
      <w:r w:rsidR="00FA42D3">
        <w:rPr>
          <w:rFonts w:hint="cs"/>
          <w:sz w:val="24"/>
          <w:szCs w:val="24"/>
          <w:rtl/>
        </w:rPr>
        <w:t xml:space="preserve">כי הלכת </w:t>
      </w:r>
      <w:r w:rsidR="00FA42D3" w:rsidRPr="00FA42D3">
        <w:rPr>
          <w:rFonts w:hint="cs"/>
          <w:b/>
          <w:bCs/>
          <w:sz w:val="24"/>
          <w:szCs w:val="24"/>
          <w:rtl/>
        </w:rPr>
        <w:t>אנגלמן</w:t>
      </w:r>
      <w:r w:rsidR="00FA42D3">
        <w:rPr>
          <w:rFonts w:hint="cs"/>
          <w:sz w:val="24"/>
          <w:szCs w:val="24"/>
          <w:rtl/>
        </w:rPr>
        <w:t xml:space="preserve"> אינה נותנת מענה מניח את הדעת במגוון של מצבים עובדתיים, אשר חלקם כבר נדונו בפסיקה בארצות הברית ובקנדה. </w:t>
      </w:r>
      <w:r w:rsidR="00DD77EF">
        <w:rPr>
          <w:rFonts w:hint="cs"/>
          <w:sz w:val="24"/>
          <w:szCs w:val="24"/>
          <w:rtl/>
        </w:rPr>
        <w:t xml:space="preserve">לדעתנו, אימוץ חלקי של </w:t>
      </w:r>
      <w:r w:rsidR="00045C5D">
        <w:rPr>
          <w:rFonts w:hint="cs"/>
          <w:sz w:val="24"/>
          <w:szCs w:val="24"/>
          <w:rtl/>
        </w:rPr>
        <w:t>מודל התוקף המותנה</w:t>
      </w:r>
      <w:r w:rsidR="00DD77EF">
        <w:rPr>
          <w:rFonts w:hint="cs"/>
          <w:sz w:val="24"/>
          <w:szCs w:val="24"/>
          <w:rtl/>
        </w:rPr>
        <w:t xml:space="preserve">, יאפשר לבית המשפט </w:t>
      </w:r>
      <w:r w:rsidR="00FA42D3">
        <w:rPr>
          <w:rFonts w:hint="cs"/>
          <w:sz w:val="24"/>
          <w:szCs w:val="24"/>
          <w:rtl/>
        </w:rPr>
        <w:t xml:space="preserve">לטפל באופן הולם במקרים </w:t>
      </w:r>
      <w:r w:rsidR="00DD77EF">
        <w:rPr>
          <w:rFonts w:hint="cs"/>
          <w:sz w:val="24"/>
          <w:szCs w:val="24"/>
          <w:rtl/>
        </w:rPr>
        <w:t xml:space="preserve">שבהם </w:t>
      </w:r>
      <w:r w:rsidR="00FA42D3">
        <w:rPr>
          <w:rFonts w:hint="cs"/>
          <w:sz w:val="24"/>
          <w:szCs w:val="24"/>
          <w:rtl/>
        </w:rPr>
        <w:t xml:space="preserve">ראוי לשלול את </w:t>
      </w:r>
      <w:r w:rsidR="00DD77EF">
        <w:rPr>
          <w:rFonts w:hint="cs"/>
          <w:sz w:val="24"/>
          <w:szCs w:val="24"/>
          <w:rtl/>
        </w:rPr>
        <w:t>תוקפה של תניי</w:t>
      </w:r>
      <w:r w:rsidR="00FA42D3">
        <w:rPr>
          <w:rFonts w:hint="cs"/>
          <w:sz w:val="24"/>
          <w:szCs w:val="24"/>
          <w:rtl/>
        </w:rPr>
        <w:t>ת</w:t>
      </w:r>
      <w:r w:rsidR="00DD77EF">
        <w:rPr>
          <w:rFonts w:hint="cs"/>
          <w:sz w:val="24"/>
          <w:szCs w:val="24"/>
          <w:rtl/>
        </w:rPr>
        <w:t xml:space="preserve"> </w:t>
      </w:r>
      <w:r w:rsidR="00FA42D3">
        <w:rPr>
          <w:rFonts w:hint="cs"/>
          <w:sz w:val="24"/>
          <w:szCs w:val="24"/>
          <w:rtl/>
        </w:rPr>
        <w:t xml:space="preserve">הסילוקין </w:t>
      </w:r>
      <w:r w:rsidR="00DD77EF">
        <w:rPr>
          <w:rFonts w:hint="cs"/>
          <w:sz w:val="24"/>
          <w:szCs w:val="24"/>
          <w:rtl/>
        </w:rPr>
        <w:t>בשל תוכנה והמגבלות שהיא מטילה, אף ללא צורך לבחון את שאלת הפעלתה</w:t>
      </w:r>
      <w:r w:rsidR="005764E6">
        <w:rPr>
          <w:rFonts w:hint="cs"/>
          <w:sz w:val="24"/>
          <w:szCs w:val="24"/>
          <w:rtl/>
        </w:rPr>
        <w:t>,</w:t>
      </w:r>
      <w:r w:rsidR="00DD77EF">
        <w:rPr>
          <w:rFonts w:hint="cs"/>
          <w:sz w:val="24"/>
          <w:szCs w:val="24"/>
          <w:rtl/>
        </w:rPr>
        <w:t xml:space="preserve"> </w:t>
      </w:r>
      <w:r w:rsidR="00987662">
        <w:rPr>
          <w:rFonts w:hint="cs"/>
          <w:sz w:val="24"/>
          <w:szCs w:val="24"/>
          <w:rtl/>
        </w:rPr>
        <w:t xml:space="preserve">המוכרעת על סמך </w:t>
      </w:r>
      <w:r w:rsidR="00DD77EF">
        <w:rPr>
          <w:rFonts w:hint="cs"/>
          <w:sz w:val="24"/>
          <w:szCs w:val="24"/>
          <w:rtl/>
        </w:rPr>
        <w:t>התנהלותו של התובע.</w:t>
      </w:r>
      <w:r w:rsidR="00BE7C26">
        <w:rPr>
          <w:rFonts w:hint="cs"/>
          <w:sz w:val="24"/>
          <w:szCs w:val="24"/>
          <w:rtl/>
        </w:rPr>
        <w:t xml:space="preserve"> </w:t>
      </w:r>
      <w:r w:rsidR="004B4632">
        <w:rPr>
          <w:rFonts w:hint="cs"/>
          <w:sz w:val="24"/>
          <w:szCs w:val="24"/>
          <w:rtl/>
        </w:rPr>
        <w:t>מקרים כאלו עשויים להתעורר במסגרתן של תניות סילוקין רחבות, או תניות המטילות מגבלות על זכות הגישה לערכאות עצמה (כערך שיש להגן עליו), או על האפשרות לממש זכויות עצמאיות של בעלי הדין.</w:t>
      </w:r>
      <w:r w:rsidRPr="00ED4D4B">
        <w:rPr>
          <w:rFonts w:hint="cs"/>
          <w:sz w:val="24"/>
          <w:szCs w:val="24"/>
          <w:rtl/>
        </w:rPr>
        <w:t xml:space="preserve"> </w:t>
      </w:r>
    </w:p>
    <w:p w14:paraId="1D44CA03" w14:textId="77777777" w:rsidR="00955212" w:rsidRPr="006A1A9B" w:rsidRDefault="00955212" w:rsidP="006A1A9B">
      <w:pPr>
        <w:bidi w:val="0"/>
        <w:jc w:val="both"/>
        <w:rPr>
          <w:rFonts w:asciiTheme="majorBidi" w:hAnsiTheme="majorBidi" w:cstheme="majorBidi"/>
          <w:color w:val="FF0000"/>
          <w:sz w:val="20"/>
          <w:szCs w:val="20"/>
          <w:rtl/>
        </w:rPr>
      </w:pPr>
    </w:p>
    <w:p w14:paraId="73069E4B" w14:textId="77777777" w:rsidR="006A1A9B" w:rsidRPr="006A1A9B" w:rsidRDefault="006A1A9B" w:rsidP="006A1A9B">
      <w:pPr>
        <w:overflowPunct/>
        <w:bidi w:val="0"/>
        <w:jc w:val="both"/>
        <w:textAlignment w:val="auto"/>
        <w:rPr>
          <w:rFonts w:asciiTheme="majorBidi" w:hAnsiTheme="majorBidi" w:cstheme="majorBidi"/>
          <w:color w:val="FF0000"/>
          <w:sz w:val="20"/>
          <w:szCs w:val="20"/>
          <w:rtl/>
        </w:rPr>
      </w:pPr>
    </w:p>
    <w:sectPr w:rsidR="006A1A9B" w:rsidRPr="006A1A9B" w:rsidSect="005941B6">
      <w:footerReference w:type="default" r:id="rId8"/>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45FD0D" w14:textId="77777777" w:rsidR="00271A33" w:rsidRDefault="00271A33">
      <w:r>
        <w:separator/>
      </w:r>
    </w:p>
  </w:endnote>
  <w:endnote w:type="continuationSeparator" w:id="0">
    <w:p w14:paraId="4F31EFEC" w14:textId="77777777" w:rsidR="00271A33" w:rsidRDefault="00271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Ruehl">
    <w:altName w:val="Times New Roman"/>
    <w:panose1 w:val="020E0503060101010101"/>
    <w:charset w:val="00"/>
    <w:family w:val="swiss"/>
    <w:pitch w:val="variable"/>
    <w:sig w:usb0="00000803" w:usb1="00000000" w:usb2="00000000" w:usb3="00000000" w:csb0="00000021" w:csb1="00000000"/>
  </w:font>
  <w:font w:name="Miriam">
    <w:panose1 w:val="020B0502050101010101"/>
    <w:charset w:val="00"/>
    <w:family w:val="swiss"/>
    <w:pitch w:val="variable"/>
    <w:sig w:usb0="00000803" w:usb1="00000000" w:usb2="00000000" w:usb3="00000000" w:csb0="00000021"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tl/>
      </w:rPr>
      <w:id w:val="1780300375"/>
      <w:docPartObj>
        <w:docPartGallery w:val="Page Numbers (Bottom of Page)"/>
        <w:docPartUnique/>
      </w:docPartObj>
    </w:sdtPr>
    <w:sdtEndPr/>
    <w:sdtContent>
      <w:p w14:paraId="70E89874" w14:textId="77777777" w:rsidR="00063AE7" w:rsidRDefault="00063AE7">
        <w:pPr>
          <w:pStyle w:val="af4"/>
          <w:jc w:val="center"/>
          <w:rPr>
            <w:rtl/>
            <w:cs/>
          </w:rPr>
        </w:pPr>
        <w:r>
          <w:fldChar w:fldCharType="begin"/>
        </w:r>
        <w:r>
          <w:rPr>
            <w:rtl/>
            <w:cs/>
          </w:rPr>
          <w:instrText>PAGE   \* MERGEFORMAT</w:instrText>
        </w:r>
        <w:r>
          <w:fldChar w:fldCharType="separate"/>
        </w:r>
        <w:r w:rsidRPr="00552009">
          <w:rPr>
            <w:noProof/>
            <w:rtl/>
            <w:lang w:val="he-IL"/>
          </w:rPr>
          <w:t>15</w:t>
        </w:r>
        <w:r>
          <w:fldChar w:fldCharType="end"/>
        </w:r>
      </w:p>
    </w:sdtContent>
  </w:sdt>
  <w:p w14:paraId="262D80DF" w14:textId="77777777" w:rsidR="00063AE7" w:rsidRDefault="00063AE7">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3AE4A0" w14:textId="77777777" w:rsidR="00271A33" w:rsidRDefault="00271A33" w:rsidP="00772B5C">
      <w:r>
        <w:separator/>
      </w:r>
    </w:p>
  </w:footnote>
  <w:footnote w:type="continuationSeparator" w:id="0">
    <w:p w14:paraId="398C7F5E" w14:textId="77777777" w:rsidR="00271A33" w:rsidRDefault="00271A33" w:rsidP="00772B5C">
      <w:r>
        <w:continuationSeparator/>
      </w:r>
    </w:p>
  </w:footnote>
  <w:footnote w:id="1">
    <w:p w14:paraId="3EFF8334" w14:textId="77777777" w:rsidR="00063AE7" w:rsidRPr="00E75D83" w:rsidRDefault="00063AE7" w:rsidP="003C0B63">
      <w:pPr>
        <w:pStyle w:val="a4"/>
        <w:jc w:val="both"/>
        <w:rPr>
          <w:sz w:val="20"/>
        </w:rPr>
      </w:pPr>
      <w:r w:rsidRPr="00E75D83">
        <w:rPr>
          <w:rFonts w:hint="cs"/>
          <w:sz w:val="20"/>
          <w:rtl/>
        </w:rPr>
        <w:t>* פרופ' יורם רבין הוא היועץ המשפטי של מבקר המדינה ולשעבר דיקן בית הספר למשפטים ע"ש חיים שטריקס, המסלול האקדמי, המכללה למ</w:t>
      </w:r>
      <w:r>
        <w:rPr>
          <w:rFonts w:hint="cs"/>
          <w:sz w:val="20"/>
          <w:rtl/>
        </w:rPr>
        <w:t>י</w:t>
      </w:r>
      <w:r w:rsidRPr="00E75D83">
        <w:rPr>
          <w:rFonts w:hint="cs"/>
          <w:sz w:val="20"/>
          <w:rtl/>
        </w:rPr>
        <w:t>נהל. אלון רודס הוא תלמיד לתואר שני במשפטים בבית הספר למשפטים ע"ש חיים שטריקס, המסלול האקדמי, המכללה למ</w:t>
      </w:r>
      <w:r>
        <w:rPr>
          <w:rFonts w:hint="cs"/>
          <w:sz w:val="20"/>
          <w:rtl/>
        </w:rPr>
        <w:t>י</w:t>
      </w:r>
      <w:r w:rsidRPr="00E75D83">
        <w:rPr>
          <w:rFonts w:hint="cs"/>
          <w:sz w:val="20"/>
          <w:rtl/>
        </w:rPr>
        <w:t>נהל.</w:t>
      </w:r>
    </w:p>
    <w:p w14:paraId="6B594791"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cs"/>
          <w:sz w:val="20"/>
          <w:rtl/>
        </w:rPr>
        <w:t xml:space="preserve">ע"א 7631/12 </w:t>
      </w:r>
      <w:r w:rsidRPr="00E75D83">
        <w:rPr>
          <w:rFonts w:hint="cs"/>
          <w:b/>
          <w:bCs/>
          <w:sz w:val="20"/>
          <w:rtl/>
        </w:rPr>
        <w:t>אמסטר נ' קרן קיימת לישראל</w:t>
      </w:r>
      <w:r w:rsidRPr="00E75D83">
        <w:rPr>
          <w:rFonts w:hint="cs"/>
          <w:sz w:val="20"/>
          <w:rtl/>
        </w:rPr>
        <w:t>, פס' 34 לפסק דינו של השופט דנציגר (פורסם בנבו, 12.8.2015).</w:t>
      </w:r>
    </w:p>
  </w:footnote>
  <w:footnote w:id="2">
    <w:p w14:paraId="5B1B722C" w14:textId="77777777" w:rsidR="00063AE7" w:rsidRPr="00E75D83" w:rsidRDefault="00063AE7" w:rsidP="00316A5C">
      <w:pPr>
        <w:pStyle w:val="a4"/>
        <w:jc w:val="both"/>
        <w:rPr>
          <w:sz w:val="20"/>
        </w:rPr>
      </w:pPr>
      <w:r w:rsidRPr="00E75D83">
        <w:rPr>
          <w:rStyle w:val="a3"/>
          <w:sz w:val="20"/>
        </w:rPr>
        <w:footnoteRef/>
      </w:r>
      <w:r w:rsidRPr="00E75D83">
        <w:rPr>
          <w:sz w:val="20"/>
          <w:rtl/>
        </w:rPr>
        <w:t xml:space="preserve"> ג</w:t>
      </w:r>
      <w:r>
        <w:rPr>
          <w:rFonts w:hint="cs"/>
          <w:sz w:val="20"/>
          <w:rtl/>
        </w:rPr>
        <w:t>י</w:t>
      </w:r>
      <w:r w:rsidRPr="00E75D83">
        <w:rPr>
          <w:sz w:val="20"/>
          <w:rtl/>
        </w:rPr>
        <w:t xml:space="preserve">אורג וילהלם פרידריך הגל </w:t>
      </w:r>
      <w:r w:rsidRPr="00E75D83">
        <w:rPr>
          <w:rFonts w:hint="eastAsia"/>
          <w:b/>
          <w:bCs/>
          <w:sz w:val="20"/>
          <w:rtl/>
        </w:rPr>
        <w:t>קווי</w:t>
      </w:r>
      <w:r w:rsidRPr="00E75D83">
        <w:rPr>
          <w:b/>
          <w:bCs/>
          <w:sz w:val="20"/>
          <w:rtl/>
        </w:rPr>
        <w:t xml:space="preserve"> </w:t>
      </w:r>
      <w:r w:rsidRPr="00E75D83">
        <w:rPr>
          <w:rFonts w:hint="eastAsia"/>
          <w:b/>
          <w:bCs/>
          <w:sz w:val="20"/>
          <w:rtl/>
        </w:rPr>
        <w:t>יסוד</w:t>
      </w:r>
      <w:r w:rsidRPr="00E75D83">
        <w:rPr>
          <w:b/>
          <w:bCs/>
          <w:sz w:val="20"/>
          <w:rtl/>
        </w:rPr>
        <w:t xml:space="preserve"> </w:t>
      </w:r>
      <w:r w:rsidRPr="00E75D83">
        <w:rPr>
          <w:rFonts w:hint="eastAsia"/>
          <w:b/>
          <w:bCs/>
          <w:sz w:val="20"/>
          <w:rtl/>
        </w:rPr>
        <w:t>לפילוסופיה</w:t>
      </w:r>
      <w:r w:rsidRPr="00E75D83">
        <w:rPr>
          <w:b/>
          <w:bCs/>
          <w:sz w:val="20"/>
          <w:rtl/>
        </w:rPr>
        <w:t xml:space="preserve"> </w:t>
      </w:r>
      <w:r w:rsidRPr="00E75D83">
        <w:rPr>
          <w:rFonts w:hint="eastAsia"/>
          <w:b/>
          <w:bCs/>
          <w:sz w:val="20"/>
          <w:rtl/>
        </w:rPr>
        <w:t>של</w:t>
      </w:r>
      <w:r w:rsidRPr="00E75D83">
        <w:rPr>
          <w:b/>
          <w:bCs/>
          <w:sz w:val="20"/>
          <w:rtl/>
        </w:rPr>
        <w:t xml:space="preserve"> </w:t>
      </w:r>
      <w:r w:rsidRPr="00E75D83">
        <w:rPr>
          <w:rFonts w:hint="eastAsia"/>
          <w:b/>
          <w:bCs/>
          <w:sz w:val="20"/>
          <w:rtl/>
        </w:rPr>
        <w:t>המשפט</w:t>
      </w:r>
      <w:r w:rsidRPr="00E75D83">
        <w:rPr>
          <w:sz w:val="20"/>
          <w:rtl/>
        </w:rPr>
        <w:t xml:space="preserve"> 173 (פיני </w:t>
      </w:r>
      <w:r w:rsidRPr="00E75D83">
        <w:rPr>
          <w:rFonts w:hint="eastAsia"/>
          <w:sz w:val="20"/>
          <w:rtl/>
        </w:rPr>
        <w:t>איפרגן</w:t>
      </w:r>
      <w:r w:rsidRPr="00E75D83">
        <w:rPr>
          <w:sz w:val="20"/>
          <w:rtl/>
        </w:rPr>
        <w:t xml:space="preserve"> עורך, גדי גולדברג מתרגם, 2011).</w:t>
      </w:r>
    </w:p>
  </w:footnote>
  <w:footnote w:id="3">
    <w:p w14:paraId="46F7DC6C" w14:textId="77777777" w:rsidR="00063AE7" w:rsidRPr="00B5255F" w:rsidRDefault="00063AE7" w:rsidP="002F40A7">
      <w:pPr>
        <w:pStyle w:val="a4"/>
        <w:jc w:val="both"/>
        <w:rPr>
          <w:sz w:val="20"/>
        </w:rPr>
      </w:pPr>
      <w:r w:rsidRPr="00B5255F">
        <w:rPr>
          <w:rStyle w:val="a3"/>
          <w:sz w:val="20"/>
        </w:rPr>
        <w:footnoteRef/>
      </w:r>
      <w:r w:rsidRPr="00B5255F">
        <w:rPr>
          <w:sz w:val="20"/>
          <w:rtl/>
        </w:rPr>
        <w:t xml:space="preserve"> </w:t>
      </w:r>
      <w:r w:rsidRPr="002537B1">
        <w:rPr>
          <w:rFonts w:hint="eastAsia"/>
          <w:sz w:val="20"/>
          <w:rtl/>
        </w:rPr>
        <w:t>בע</w:t>
      </w:r>
      <w:r w:rsidRPr="002537B1">
        <w:rPr>
          <w:sz w:val="20"/>
          <w:rtl/>
        </w:rPr>
        <w:t xml:space="preserve">"מ 9413/17 </w:t>
      </w:r>
      <w:r w:rsidRPr="002537B1">
        <w:rPr>
          <w:rFonts w:hint="eastAsia"/>
          <w:b/>
          <w:bCs/>
          <w:sz w:val="20"/>
          <w:rtl/>
        </w:rPr>
        <w:t>פלוני</w:t>
      </w:r>
      <w:r w:rsidRPr="002537B1">
        <w:rPr>
          <w:b/>
          <w:bCs/>
          <w:sz w:val="20"/>
          <w:rtl/>
        </w:rPr>
        <w:t xml:space="preserve"> </w:t>
      </w:r>
      <w:r w:rsidRPr="002537B1">
        <w:rPr>
          <w:rFonts w:hint="eastAsia"/>
          <w:b/>
          <w:bCs/>
          <w:sz w:val="20"/>
          <w:rtl/>
        </w:rPr>
        <w:t>נ</w:t>
      </w:r>
      <w:r w:rsidRPr="002537B1">
        <w:rPr>
          <w:b/>
          <w:bCs/>
          <w:sz w:val="20"/>
          <w:rtl/>
        </w:rPr>
        <w:t xml:space="preserve">' </w:t>
      </w:r>
      <w:r w:rsidRPr="002537B1">
        <w:rPr>
          <w:rFonts w:hint="eastAsia"/>
          <w:b/>
          <w:bCs/>
          <w:sz w:val="20"/>
          <w:rtl/>
        </w:rPr>
        <w:t>פלונית</w:t>
      </w:r>
      <w:r w:rsidRPr="002537B1">
        <w:rPr>
          <w:sz w:val="20"/>
          <w:rtl/>
        </w:rPr>
        <w:t xml:space="preserve">, פס' 14 לפסק </w:t>
      </w:r>
      <w:r w:rsidRPr="002537B1">
        <w:rPr>
          <w:rFonts w:hint="eastAsia"/>
          <w:sz w:val="20"/>
          <w:rtl/>
        </w:rPr>
        <w:t>דינה</w:t>
      </w:r>
      <w:r w:rsidRPr="002537B1">
        <w:rPr>
          <w:sz w:val="20"/>
          <w:rtl/>
        </w:rPr>
        <w:t xml:space="preserve"> </w:t>
      </w:r>
      <w:r w:rsidRPr="002537B1">
        <w:rPr>
          <w:rFonts w:hint="eastAsia"/>
          <w:sz w:val="20"/>
          <w:rtl/>
        </w:rPr>
        <w:t>של</w:t>
      </w:r>
      <w:r w:rsidRPr="002537B1">
        <w:rPr>
          <w:sz w:val="20"/>
          <w:rtl/>
        </w:rPr>
        <w:t xml:space="preserve"> </w:t>
      </w:r>
      <w:r w:rsidRPr="002537B1">
        <w:rPr>
          <w:rFonts w:hint="eastAsia"/>
          <w:sz w:val="20"/>
          <w:rtl/>
        </w:rPr>
        <w:t>השופטת</w:t>
      </w:r>
      <w:r w:rsidRPr="002537B1">
        <w:rPr>
          <w:sz w:val="20"/>
          <w:rtl/>
        </w:rPr>
        <w:t xml:space="preserve"> </w:t>
      </w:r>
      <w:r w:rsidRPr="002537B1">
        <w:rPr>
          <w:rFonts w:hint="eastAsia"/>
          <w:sz w:val="20"/>
          <w:rtl/>
        </w:rPr>
        <w:t>ברק</w:t>
      </w:r>
      <w:r w:rsidRPr="002537B1">
        <w:rPr>
          <w:sz w:val="20"/>
          <w:rtl/>
        </w:rPr>
        <w:t xml:space="preserve"> </w:t>
      </w:r>
      <w:r w:rsidRPr="002537B1">
        <w:rPr>
          <w:rFonts w:hint="eastAsia"/>
          <w:sz w:val="20"/>
          <w:rtl/>
        </w:rPr>
        <w:t>ארז</w:t>
      </w:r>
      <w:r w:rsidRPr="002537B1">
        <w:rPr>
          <w:sz w:val="20"/>
          <w:rtl/>
        </w:rPr>
        <w:t xml:space="preserve"> (פורסם בנבו, 3.1.2018). פסק דין זה הוא פסק הדין העדכני ביותר שבו נדרש בית המשפט העליון לסוגיה, והוא מהווה גלגול של פסק הדין </w:t>
      </w:r>
      <w:r w:rsidRPr="002537B1">
        <w:rPr>
          <w:rFonts w:hint="eastAsia"/>
          <w:sz w:val="20"/>
          <w:rtl/>
        </w:rPr>
        <w:t>עמ</w:t>
      </w:r>
      <w:r w:rsidRPr="002537B1">
        <w:rPr>
          <w:sz w:val="20"/>
          <w:rtl/>
        </w:rPr>
        <w:t>"ש (</w:t>
      </w:r>
      <w:r w:rsidRPr="002537B1">
        <w:rPr>
          <w:rFonts w:hint="eastAsia"/>
          <w:sz w:val="20"/>
          <w:rtl/>
        </w:rPr>
        <w:t>מחוזי</w:t>
      </w:r>
      <w:r w:rsidRPr="002537B1">
        <w:rPr>
          <w:sz w:val="20"/>
          <w:rtl/>
        </w:rPr>
        <w:t xml:space="preserve"> </w:t>
      </w:r>
      <w:r w:rsidRPr="002537B1">
        <w:rPr>
          <w:rFonts w:hint="eastAsia"/>
          <w:sz w:val="20"/>
          <w:rtl/>
        </w:rPr>
        <w:t>ת</w:t>
      </w:r>
      <w:r w:rsidRPr="002537B1">
        <w:rPr>
          <w:sz w:val="20"/>
          <w:rtl/>
        </w:rPr>
        <w:t xml:space="preserve">"א) 15807-09-16 </w:t>
      </w:r>
      <w:r w:rsidRPr="002537B1">
        <w:rPr>
          <w:rFonts w:hint="eastAsia"/>
          <w:b/>
          <w:bCs/>
          <w:sz w:val="20"/>
          <w:rtl/>
        </w:rPr>
        <w:t>י</w:t>
      </w:r>
      <w:r w:rsidRPr="002537B1">
        <w:rPr>
          <w:b/>
          <w:bCs/>
          <w:sz w:val="20"/>
          <w:rtl/>
        </w:rPr>
        <w:t xml:space="preserve">' </w:t>
      </w:r>
      <w:r w:rsidRPr="002537B1">
        <w:rPr>
          <w:rFonts w:hint="eastAsia"/>
          <w:b/>
          <w:bCs/>
          <w:sz w:val="20"/>
          <w:rtl/>
        </w:rPr>
        <w:t>ד</w:t>
      </w:r>
      <w:r w:rsidRPr="002537B1">
        <w:rPr>
          <w:b/>
          <w:bCs/>
          <w:sz w:val="20"/>
          <w:rtl/>
        </w:rPr>
        <w:t xml:space="preserve">' </w:t>
      </w:r>
      <w:r w:rsidRPr="002537B1">
        <w:rPr>
          <w:rFonts w:hint="eastAsia"/>
          <w:b/>
          <w:bCs/>
          <w:sz w:val="20"/>
          <w:rtl/>
        </w:rPr>
        <w:t>נ</w:t>
      </w:r>
      <w:r w:rsidRPr="002537B1">
        <w:rPr>
          <w:b/>
          <w:bCs/>
          <w:sz w:val="20"/>
          <w:rtl/>
        </w:rPr>
        <w:t xml:space="preserve">' </w:t>
      </w:r>
      <w:r w:rsidRPr="002537B1">
        <w:rPr>
          <w:rFonts w:hint="eastAsia"/>
          <w:b/>
          <w:bCs/>
          <w:sz w:val="20"/>
          <w:rtl/>
        </w:rPr>
        <w:t>ב</w:t>
      </w:r>
      <w:r w:rsidRPr="002537B1">
        <w:rPr>
          <w:b/>
          <w:bCs/>
          <w:sz w:val="20"/>
          <w:rtl/>
        </w:rPr>
        <w:t xml:space="preserve">' </w:t>
      </w:r>
      <w:r w:rsidRPr="002537B1">
        <w:rPr>
          <w:rFonts w:hint="eastAsia"/>
          <w:b/>
          <w:bCs/>
          <w:sz w:val="20"/>
          <w:rtl/>
        </w:rPr>
        <w:t>ש</w:t>
      </w:r>
      <w:r w:rsidRPr="002537B1">
        <w:rPr>
          <w:b/>
          <w:bCs/>
          <w:sz w:val="20"/>
          <w:rtl/>
        </w:rPr>
        <w:t>'</w:t>
      </w:r>
      <w:r w:rsidRPr="002537B1">
        <w:rPr>
          <w:sz w:val="20"/>
          <w:rtl/>
        </w:rPr>
        <w:t xml:space="preserve"> (פורסם בנבו, 5.11.2017), </w:t>
      </w:r>
      <w:r w:rsidRPr="002537B1">
        <w:rPr>
          <w:rFonts w:hint="eastAsia"/>
          <w:sz w:val="20"/>
          <w:rtl/>
        </w:rPr>
        <w:t>שבו</w:t>
      </w:r>
      <w:r w:rsidRPr="002537B1">
        <w:rPr>
          <w:sz w:val="20"/>
          <w:rtl/>
        </w:rPr>
        <w:t xml:space="preserve"> </w:t>
      </w:r>
      <w:r w:rsidRPr="002537B1">
        <w:rPr>
          <w:rFonts w:hint="eastAsia"/>
          <w:sz w:val="20"/>
          <w:rtl/>
        </w:rPr>
        <w:t>נדון</w:t>
      </w:r>
      <w:r w:rsidRPr="002537B1">
        <w:rPr>
          <w:sz w:val="20"/>
          <w:rtl/>
        </w:rPr>
        <w:t xml:space="preserve"> </w:t>
      </w:r>
      <w:r w:rsidRPr="002537B1">
        <w:rPr>
          <w:rFonts w:hint="eastAsia"/>
          <w:sz w:val="20"/>
          <w:rtl/>
        </w:rPr>
        <w:t>בהמשך</w:t>
      </w:r>
      <w:r w:rsidRPr="002537B1">
        <w:rPr>
          <w:sz w:val="20"/>
          <w:rtl/>
        </w:rPr>
        <w:t>.</w:t>
      </w:r>
    </w:p>
  </w:footnote>
  <w:footnote w:id="4">
    <w:p w14:paraId="2DCFFE4A"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לדוגמה</w:t>
      </w:r>
      <w:r w:rsidRPr="00E75D83">
        <w:rPr>
          <w:sz w:val="20"/>
          <w:rtl/>
        </w:rPr>
        <w:t xml:space="preserve">, רצונו של המוריש </w:t>
      </w:r>
      <w:r w:rsidRPr="00E75D83">
        <w:rPr>
          <w:rFonts w:hint="eastAsia"/>
          <w:b/>
          <w:bCs/>
          <w:sz w:val="20"/>
          <w:rtl/>
        </w:rPr>
        <w:t>למנוע</w:t>
      </w:r>
      <w:r w:rsidRPr="00E75D83">
        <w:rPr>
          <w:b/>
          <w:bCs/>
          <w:sz w:val="20"/>
          <w:rtl/>
        </w:rPr>
        <w:t xml:space="preserve"> </w:t>
      </w:r>
      <w:r w:rsidRPr="00E75D83">
        <w:rPr>
          <w:rFonts w:hint="eastAsia"/>
          <w:b/>
          <w:bCs/>
          <w:sz w:val="20"/>
          <w:rtl/>
        </w:rPr>
        <w:t>סכסוך</w:t>
      </w:r>
      <w:r w:rsidRPr="00E75D83">
        <w:rPr>
          <w:sz w:val="20"/>
          <w:rtl/>
        </w:rPr>
        <w:t xml:space="preserve"> בין שני יורשים אחים, אשר אחד מהם פונה לערכאות כדי לתקוף את שיעור החלק שקיבל האח השני. </w:t>
      </w:r>
    </w:p>
  </w:footnote>
  <w:footnote w:id="5">
    <w:p w14:paraId="1F5B3BAB"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לדוגמה, </w:t>
      </w:r>
      <w:r w:rsidRPr="00E75D83">
        <w:rPr>
          <w:rFonts w:hint="eastAsia"/>
          <w:sz w:val="20"/>
          <w:rtl/>
        </w:rPr>
        <w:t>רצון</w:t>
      </w:r>
      <w:r w:rsidRPr="00E75D83">
        <w:rPr>
          <w:sz w:val="20"/>
          <w:rtl/>
        </w:rPr>
        <w:t xml:space="preserve"> למנוע מיורש לפנות לבית המשפט כדי </w:t>
      </w:r>
      <w:r w:rsidRPr="00E75D83">
        <w:rPr>
          <w:rFonts w:hint="eastAsia"/>
          <w:b/>
          <w:bCs/>
          <w:sz w:val="20"/>
          <w:rtl/>
        </w:rPr>
        <w:t>להגדיל</w:t>
      </w:r>
      <w:r w:rsidRPr="00E75D83">
        <w:rPr>
          <w:b/>
          <w:bCs/>
          <w:sz w:val="20"/>
          <w:rtl/>
        </w:rPr>
        <w:t xml:space="preserve"> </w:t>
      </w:r>
      <w:r w:rsidRPr="00E75D83">
        <w:rPr>
          <w:rFonts w:hint="eastAsia"/>
          <w:b/>
          <w:bCs/>
          <w:sz w:val="20"/>
          <w:rtl/>
        </w:rPr>
        <w:t>את</w:t>
      </w:r>
      <w:r w:rsidRPr="00E75D83">
        <w:rPr>
          <w:b/>
          <w:bCs/>
          <w:sz w:val="20"/>
          <w:rtl/>
        </w:rPr>
        <w:t xml:space="preserve"> </w:t>
      </w:r>
      <w:r w:rsidRPr="00E75D83">
        <w:rPr>
          <w:rFonts w:hint="eastAsia"/>
          <w:b/>
          <w:bCs/>
          <w:sz w:val="20"/>
          <w:rtl/>
        </w:rPr>
        <w:t>חלקו</w:t>
      </w:r>
      <w:r w:rsidRPr="00E75D83">
        <w:rPr>
          <w:b/>
          <w:bCs/>
          <w:sz w:val="20"/>
          <w:rtl/>
        </w:rPr>
        <w:t xml:space="preserve"> </w:t>
      </w:r>
      <w:r w:rsidRPr="00E75D83">
        <w:rPr>
          <w:rFonts w:hint="eastAsia"/>
          <w:b/>
          <w:bCs/>
          <w:sz w:val="20"/>
          <w:rtl/>
        </w:rPr>
        <w:t>בירושה</w:t>
      </w:r>
      <w:r w:rsidRPr="00E75D83">
        <w:rPr>
          <w:sz w:val="20"/>
          <w:rtl/>
        </w:rPr>
        <w:t xml:space="preserve">. </w:t>
      </w:r>
    </w:p>
  </w:footnote>
  <w:footnote w:id="6">
    <w:p w14:paraId="0A0CE059" w14:textId="2E0932DC"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sz w:val="20"/>
          <w:rtl/>
        </w:rPr>
        <w:t>על כן, יש הכוללים תנייה זו במסגרת התניות המכונות</w:t>
      </w:r>
      <w:r w:rsidRPr="00E75D83">
        <w:rPr>
          <w:i/>
          <w:iCs/>
          <w:sz w:val="20"/>
          <w:rtl/>
        </w:rPr>
        <w:t xml:space="preserve"> </w:t>
      </w:r>
      <w:r w:rsidRPr="00E75D83">
        <w:rPr>
          <w:i/>
          <w:iCs/>
          <w:sz w:val="20"/>
        </w:rPr>
        <w:t>In terrorem clause</w:t>
      </w:r>
      <w:r w:rsidRPr="00E75D83">
        <w:rPr>
          <w:sz w:val="20"/>
          <w:rtl/>
        </w:rPr>
        <w:t>, אם כי תניות מסוג זה משרתות לרוב מטרות שונות במעט</w:t>
      </w:r>
      <w:r w:rsidR="00513305">
        <w:rPr>
          <w:sz w:val="20"/>
        </w:rPr>
        <w:t xml:space="preserve"> </w:t>
      </w:r>
      <w:r w:rsidRPr="00E75D83">
        <w:rPr>
          <w:sz w:val="20"/>
          <w:rtl/>
        </w:rPr>
        <w:t>רא</w:t>
      </w:r>
      <w:r w:rsidRPr="00E75D83">
        <w:rPr>
          <w:rFonts w:hint="eastAsia"/>
          <w:sz w:val="20"/>
          <w:rtl/>
        </w:rPr>
        <w:t>ו</w:t>
      </w:r>
      <w:r w:rsidRPr="00E75D83">
        <w:rPr>
          <w:sz w:val="20"/>
          <w:rtl/>
        </w:rPr>
        <w:t xml:space="preserve"> </w:t>
      </w:r>
      <w:r w:rsidRPr="00E75D83">
        <w:rPr>
          <w:sz w:val="20"/>
        </w:rPr>
        <w:t xml:space="preserve">Martin D. Begleiter, </w:t>
      </w:r>
      <w:r w:rsidRPr="00E75D83">
        <w:rPr>
          <w:i/>
          <w:iCs/>
          <w:sz w:val="20"/>
        </w:rPr>
        <w:t>Anti-Contest Clauses: When you Care Enough to Send the Final Treat</w:t>
      </w:r>
      <w:r w:rsidRPr="00E75D83">
        <w:rPr>
          <w:sz w:val="20"/>
        </w:rPr>
        <w:t xml:space="preserve">, 26 </w:t>
      </w:r>
      <w:r w:rsidRPr="00E75D83">
        <w:rPr>
          <w:smallCaps/>
          <w:sz w:val="20"/>
        </w:rPr>
        <w:t>Ariz. St. L. J. 629, 649–650 (1994)</w:t>
      </w:r>
      <w:r w:rsidRPr="00E75D83">
        <w:rPr>
          <w:smallCaps/>
          <w:sz w:val="20"/>
          <w:rtl/>
        </w:rPr>
        <w:t>.</w:t>
      </w:r>
    </w:p>
  </w:footnote>
  <w:footnote w:id="7">
    <w:p w14:paraId="2B0765EA"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יורם</w:t>
      </w:r>
      <w:r w:rsidRPr="00E75D83">
        <w:rPr>
          <w:sz w:val="20"/>
          <w:rtl/>
        </w:rPr>
        <w:t xml:space="preserve"> רבין </w:t>
      </w:r>
      <w:r w:rsidRPr="00E75D83">
        <w:rPr>
          <w:rFonts w:hint="eastAsia"/>
          <w:b/>
          <w:bCs/>
          <w:sz w:val="20"/>
          <w:rtl/>
        </w:rPr>
        <w:t>זכות</w:t>
      </w:r>
      <w:r w:rsidRPr="00E75D83">
        <w:rPr>
          <w:b/>
          <w:bCs/>
          <w:sz w:val="20"/>
          <w:rtl/>
        </w:rPr>
        <w:t xml:space="preserve"> </w:t>
      </w:r>
      <w:r w:rsidRPr="00E75D83">
        <w:rPr>
          <w:rFonts w:hint="eastAsia"/>
          <w:b/>
          <w:bCs/>
          <w:sz w:val="20"/>
          <w:rtl/>
        </w:rPr>
        <w:t>הגישה</w:t>
      </w:r>
      <w:r w:rsidRPr="00E75D83">
        <w:rPr>
          <w:b/>
          <w:bCs/>
          <w:sz w:val="20"/>
          <w:rtl/>
        </w:rPr>
        <w:t xml:space="preserve"> </w:t>
      </w:r>
      <w:r w:rsidRPr="00E75D83">
        <w:rPr>
          <w:rFonts w:hint="eastAsia"/>
          <w:b/>
          <w:bCs/>
          <w:sz w:val="20"/>
          <w:rtl/>
        </w:rPr>
        <w:t>לערכאות</w:t>
      </w:r>
      <w:r w:rsidRPr="00E75D83">
        <w:rPr>
          <w:b/>
          <w:bCs/>
          <w:sz w:val="20"/>
          <w:rtl/>
        </w:rPr>
        <w:t xml:space="preserve"> </w:t>
      </w:r>
      <w:r w:rsidRPr="00E75D83">
        <w:rPr>
          <w:rFonts w:hint="eastAsia"/>
          <w:b/>
          <w:bCs/>
          <w:sz w:val="20"/>
          <w:rtl/>
        </w:rPr>
        <w:t>כזכות</w:t>
      </w:r>
      <w:r w:rsidRPr="00E75D83">
        <w:rPr>
          <w:b/>
          <w:bCs/>
          <w:sz w:val="20"/>
          <w:rtl/>
        </w:rPr>
        <w:t xml:space="preserve"> </w:t>
      </w:r>
      <w:r w:rsidRPr="00E75D83">
        <w:rPr>
          <w:rFonts w:hint="eastAsia"/>
          <w:b/>
          <w:bCs/>
          <w:sz w:val="20"/>
          <w:rtl/>
        </w:rPr>
        <w:t>חוקתית</w:t>
      </w:r>
      <w:r w:rsidRPr="00E75D83">
        <w:rPr>
          <w:sz w:val="20"/>
          <w:rtl/>
        </w:rPr>
        <w:t xml:space="preserve"> 47–51 (1998); אהרן ברק "זכות הגישה למערכת השיפוטית" </w:t>
      </w:r>
      <w:r w:rsidRPr="00E75D83">
        <w:rPr>
          <w:rFonts w:hint="eastAsia"/>
          <w:b/>
          <w:bCs/>
          <w:sz w:val="20"/>
          <w:rtl/>
        </w:rPr>
        <w:t>ספר</w:t>
      </w:r>
      <w:r w:rsidRPr="00E75D83">
        <w:rPr>
          <w:b/>
          <w:bCs/>
          <w:sz w:val="20"/>
          <w:rtl/>
        </w:rPr>
        <w:t xml:space="preserve"> </w:t>
      </w:r>
      <w:r w:rsidRPr="00E75D83">
        <w:rPr>
          <w:rFonts w:hint="eastAsia"/>
          <w:b/>
          <w:bCs/>
          <w:sz w:val="20"/>
          <w:rtl/>
        </w:rPr>
        <w:t>שלמה</w:t>
      </w:r>
      <w:r w:rsidRPr="00E75D83">
        <w:rPr>
          <w:b/>
          <w:bCs/>
          <w:sz w:val="20"/>
          <w:rtl/>
        </w:rPr>
        <w:t xml:space="preserve"> </w:t>
      </w:r>
      <w:r w:rsidRPr="00E75D83">
        <w:rPr>
          <w:rFonts w:hint="eastAsia"/>
          <w:b/>
          <w:bCs/>
          <w:sz w:val="20"/>
          <w:rtl/>
        </w:rPr>
        <w:t>לוין</w:t>
      </w:r>
      <w:r w:rsidRPr="00E75D83">
        <w:rPr>
          <w:sz w:val="20"/>
          <w:rtl/>
        </w:rPr>
        <w:t xml:space="preserve"> 31, 34–35 (2013)</w:t>
      </w:r>
      <w:r>
        <w:rPr>
          <w:rFonts w:hint="cs"/>
          <w:sz w:val="20"/>
          <w:rtl/>
        </w:rPr>
        <w:t>.</w:t>
      </w:r>
    </w:p>
  </w:footnote>
  <w:footnote w:id="8">
    <w:p w14:paraId="55DD8298" w14:textId="08010900"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רבין</w:t>
      </w:r>
      <w:r w:rsidRPr="00E75D83">
        <w:rPr>
          <w:sz w:val="20"/>
          <w:rtl/>
        </w:rPr>
        <w:t>,</w:t>
      </w:r>
      <w:r w:rsidR="00513305">
        <w:rPr>
          <w:rFonts w:hint="cs"/>
          <w:sz w:val="20"/>
          <w:rtl/>
        </w:rPr>
        <w:t xml:space="preserve"> לעיל </w:t>
      </w:r>
      <w:proofErr w:type="spellStart"/>
      <w:r w:rsidR="00513305">
        <w:rPr>
          <w:rFonts w:hint="cs"/>
          <w:sz w:val="20"/>
          <w:rtl/>
        </w:rPr>
        <w:t>ה"ש</w:t>
      </w:r>
      <w:proofErr w:type="spellEnd"/>
      <w:r w:rsidR="00513305">
        <w:rPr>
          <w:rFonts w:hint="cs"/>
          <w:sz w:val="20"/>
          <w:rtl/>
        </w:rPr>
        <w:t xml:space="preserve"> </w:t>
      </w:r>
      <w:r w:rsidR="00513305">
        <w:rPr>
          <w:sz w:val="20"/>
          <w:rtl/>
        </w:rPr>
        <w:fldChar w:fldCharType="begin"/>
      </w:r>
      <w:r w:rsidR="00513305">
        <w:rPr>
          <w:sz w:val="20"/>
          <w:rtl/>
        </w:rPr>
        <w:instrText xml:space="preserve"> </w:instrText>
      </w:r>
      <w:r w:rsidR="00513305">
        <w:rPr>
          <w:rFonts w:hint="cs"/>
          <w:sz w:val="20"/>
        </w:rPr>
        <w:instrText>NOTEREF</w:instrText>
      </w:r>
      <w:r w:rsidR="00513305">
        <w:rPr>
          <w:rFonts w:hint="cs"/>
          <w:sz w:val="20"/>
          <w:rtl/>
        </w:rPr>
        <w:instrText xml:space="preserve"> _</w:instrText>
      </w:r>
      <w:r w:rsidR="00513305">
        <w:rPr>
          <w:rFonts w:hint="cs"/>
          <w:sz w:val="20"/>
        </w:rPr>
        <w:instrText>Ref497718045 \p \h</w:instrText>
      </w:r>
      <w:r w:rsidR="00513305">
        <w:rPr>
          <w:sz w:val="20"/>
          <w:rtl/>
        </w:rPr>
        <w:instrText xml:space="preserve"> </w:instrText>
      </w:r>
      <w:r w:rsidR="00513305">
        <w:rPr>
          <w:sz w:val="20"/>
          <w:rtl/>
        </w:rPr>
      </w:r>
      <w:r w:rsidR="00513305">
        <w:rPr>
          <w:sz w:val="20"/>
          <w:rtl/>
        </w:rPr>
        <w:fldChar w:fldCharType="separate"/>
      </w:r>
      <w:r w:rsidR="00513305">
        <w:rPr>
          <w:sz w:val="20"/>
          <w:rtl/>
        </w:rPr>
        <w:t>7</w:t>
      </w:r>
      <w:r w:rsidR="00513305">
        <w:rPr>
          <w:sz w:val="20"/>
          <w:rtl/>
        </w:rPr>
        <w:fldChar w:fldCharType="end"/>
      </w:r>
      <w:r w:rsidRPr="00E75D83">
        <w:rPr>
          <w:sz w:val="20"/>
          <w:rtl/>
        </w:rPr>
        <w:t xml:space="preserve">, בעמ' 52. </w:t>
      </w:r>
    </w:p>
  </w:footnote>
  <w:footnote w:id="9">
    <w:p w14:paraId="2DE7F117" w14:textId="77777777" w:rsidR="00063AE7" w:rsidRPr="00797ABF" w:rsidRDefault="00063AE7" w:rsidP="003C0B63">
      <w:pPr>
        <w:pStyle w:val="a4"/>
        <w:jc w:val="both"/>
        <w:rPr>
          <w:sz w:val="20"/>
          <w:rtl/>
        </w:rPr>
      </w:pPr>
      <w:r w:rsidRPr="00E75D83">
        <w:rPr>
          <w:rStyle w:val="a3"/>
          <w:sz w:val="20"/>
        </w:rPr>
        <w:footnoteRef/>
      </w:r>
      <w:r w:rsidRPr="00E75D83">
        <w:rPr>
          <w:sz w:val="20"/>
          <w:rtl/>
        </w:rPr>
        <w:t xml:space="preserve"> </w:t>
      </w:r>
      <w:r w:rsidRPr="00E75D83">
        <w:rPr>
          <w:sz w:val="20"/>
        </w:rPr>
        <w:t xml:space="preserve">Jack B. Weinstein, </w:t>
      </w:r>
      <w:r w:rsidRPr="00E75D83">
        <w:rPr>
          <w:i/>
          <w:iCs/>
          <w:sz w:val="20"/>
        </w:rPr>
        <w:t>The Poor’s Right to Equal Access to the Courts</w:t>
      </w:r>
      <w:r w:rsidRPr="00E75D83">
        <w:rPr>
          <w:sz w:val="20"/>
        </w:rPr>
        <w:t xml:space="preserve">, 13 </w:t>
      </w:r>
      <w:r w:rsidRPr="00E75D83">
        <w:rPr>
          <w:smallCaps/>
          <w:sz w:val="20"/>
        </w:rPr>
        <w:t>Conn. L. Rev</w:t>
      </w:r>
      <w:r w:rsidRPr="00E75D83">
        <w:rPr>
          <w:sz w:val="20"/>
        </w:rPr>
        <w:t>. 651, 658 (1981); Jeffrey R. Pankratz,</w:t>
      </w:r>
      <w:r w:rsidRPr="00E75D83">
        <w:rPr>
          <w:i/>
          <w:iCs/>
          <w:sz w:val="20"/>
        </w:rPr>
        <w:t xml:space="preserve"> Neutral Principles and the Right to Neutral Access to the Courts</w:t>
      </w:r>
      <w:r w:rsidRPr="00E75D83">
        <w:rPr>
          <w:sz w:val="20"/>
        </w:rPr>
        <w:t xml:space="preserve">, 67 </w:t>
      </w:r>
      <w:r w:rsidRPr="00E75D83">
        <w:rPr>
          <w:smallCaps/>
          <w:sz w:val="20"/>
        </w:rPr>
        <w:t>Ind</w:t>
      </w:r>
      <w:r w:rsidRPr="00E75D83">
        <w:rPr>
          <w:sz w:val="20"/>
        </w:rPr>
        <w:t>. L.J. 1091 (1992)</w:t>
      </w:r>
      <w:r>
        <w:rPr>
          <w:rFonts w:hint="cs"/>
          <w:sz w:val="20"/>
          <w:rtl/>
        </w:rPr>
        <w:t>.</w:t>
      </w:r>
    </w:p>
  </w:footnote>
  <w:footnote w:id="10">
    <w:p w14:paraId="3618BA1A"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sz w:val="20"/>
        </w:rPr>
        <w:t xml:space="preserve">John </w:t>
      </w:r>
      <w:proofErr w:type="spellStart"/>
      <w:r w:rsidRPr="00E75D83">
        <w:rPr>
          <w:sz w:val="20"/>
        </w:rPr>
        <w:t>Leubsdorf</w:t>
      </w:r>
      <w:proofErr w:type="spellEnd"/>
      <w:r w:rsidRPr="00E75D83">
        <w:rPr>
          <w:sz w:val="20"/>
        </w:rPr>
        <w:t xml:space="preserve">, </w:t>
      </w:r>
      <w:r w:rsidRPr="00E75D83">
        <w:rPr>
          <w:i/>
          <w:iCs/>
          <w:sz w:val="20"/>
        </w:rPr>
        <w:t>Constitutional Civil Procedure</w:t>
      </w:r>
      <w:r w:rsidRPr="00E75D83">
        <w:rPr>
          <w:sz w:val="20"/>
        </w:rPr>
        <w:t xml:space="preserve">, </w:t>
      </w:r>
      <w:r w:rsidRPr="00E75D83">
        <w:rPr>
          <w:smallCaps/>
          <w:sz w:val="20"/>
        </w:rPr>
        <w:t>63 Tex. L. Rev</w:t>
      </w:r>
      <w:r w:rsidRPr="00E75D83">
        <w:rPr>
          <w:sz w:val="20"/>
        </w:rPr>
        <w:t>. 579, 591</w:t>
      </w:r>
      <w:r w:rsidRPr="002537B1">
        <w:rPr>
          <w:sz w:val="20"/>
        </w:rPr>
        <w:t>–599</w:t>
      </w:r>
      <w:r w:rsidRPr="00E75D83">
        <w:rPr>
          <w:sz w:val="20"/>
        </w:rPr>
        <w:t xml:space="preserve"> (1984)</w:t>
      </w:r>
      <w:r w:rsidRPr="00E75D83">
        <w:rPr>
          <w:sz w:val="20"/>
          <w:rtl/>
        </w:rPr>
        <w:t xml:space="preserve">; שלמה לוין </w:t>
      </w:r>
      <w:r w:rsidRPr="00E75D83">
        <w:rPr>
          <w:rFonts w:hint="eastAsia"/>
          <w:b/>
          <w:bCs/>
          <w:sz w:val="20"/>
          <w:rtl/>
        </w:rPr>
        <w:t>תורת</w:t>
      </w:r>
      <w:r w:rsidRPr="00E75D83">
        <w:rPr>
          <w:b/>
          <w:bCs/>
          <w:sz w:val="20"/>
          <w:rtl/>
        </w:rPr>
        <w:t xml:space="preserve"> </w:t>
      </w:r>
      <w:r w:rsidRPr="00E75D83">
        <w:rPr>
          <w:rFonts w:hint="eastAsia"/>
          <w:b/>
          <w:bCs/>
          <w:sz w:val="20"/>
          <w:rtl/>
        </w:rPr>
        <w:t>הפרוצדורה</w:t>
      </w:r>
      <w:r w:rsidRPr="00E75D83">
        <w:rPr>
          <w:b/>
          <w:bCs/>
          <w:sz w:val="20"/>
          <w:rtl/>
        </w:rPr>
        <w:t xml:space="preserve"> </w:t>
      </w:r>
      <w:r w:rsidRPr="00E75D83">
        <w:rPr>
          <w:rFonts w:hint="eastAsia"/>
          <w:b/>
          <w:bCs/>
          <w:sz w:val="20"/>
          <w:rtl/>
        </w:rPr>
        <w:t>האזרחית</w:t>
      </w:r>
      <w:r w:rsidRPr="00E75D83">
        <w:rPr>
          <w:b/>
          <w:bCs/>
          <w:sz w:val="20"/>
          <w:rtl/>
        </w:rPr>
        <w:t xml:space="preserve">: </w:t>
      </w:r>
      <w:r w:rsidRPr="00E75D83">
        <w:rPr>
          <w:rFonts w:hint="eastAsia"/>
          <w:b/>
          <w:bCs/>
          <w:sz w:val="20"/>
          <w:rtl/>
        </w:rPr>
        <w:t>מבוא</w:t>
      </w:r>
      <w:r w:rsidRPr="00E75D83">
        <w:rPr>
          <w:b/>
          <w:bCs/>
          <w:sz w:val="20"/>
          <w:rtl/>
        </w:rPr>
        <w:t xml:space="preserve"> </w:t>
      </w:r>
      <w:r w:rsidRPr="00E75D83">
        <w:rPr>
          <w:rFonts w:hint="eastAsia"/>
          <w:b/>
          <w:bCs/>
          <w:sz w:val="20"/>
          <w:rtl/>
        </w:rPr>
        <w:t>ועקרונות</w:t>
      </w:r>
      <w:r w:rsidRPr="00E75D83">
        <w:rPr>
          <w:b/>
          <w:bCs/>
          <w:sz w:val="20"/>
          <w:rtl/>
        </w:rPr>
        <w:t xml:space="preserve"> </w:t>
      </w:r>
      <w:r w:rsidRPr="00E75D83">
        <w:rPr>
          <w:rFonts w:hint="eastAsia"/>
          <w:b/>
          <w:bCs/>
          <w:sz w:val="20"/>
          <w:rtl/>
        </w:rPr>
        <w:t>יסוד</w:t>
      </w:r>
      <w:r w:rsidRPr="00E75D83">
        <w:rPr>
          <w:sz w:val="20"/>
          <w:rtl/>
        </w:rPr>
        <w:t xml:space="preserve"> 27 (מהדורה שנייה, 2008) (להלן: לוין </w:t>
      </w:r>
      <w:r w:rsidRPr="00E75D83">
        <w:rPr>
          <w:rFonts w:hint="eastAsia"/>
          <w:b/>
          <w:bCs/>
          <w:sz w:val="20"/>
          <w:rtl/>
        </w:rPr>
        <w:t>תורת</w:t>
      </w:r>
      <w:r w:rsidRPr="00E75D83">
        <w:rPr>
          <w:b/>
          <w:bCs/>
          <w:sz w:val="20"/>
          <w:rtl/>
        </w:rPr>
        <w:t xml:space="preserve"> </w:t>
      </w:r>
      <w:r w:rsidRPr="00E75D83">
        <w:rPr>
          <w:rFonts w:hint="eastAsia"/>
          <w:b/>
          <w:bCs/>
          <w:sz w:val="20"/>
          <w:rtl/>
        </w:rPr>
        <w:t>הפרוצדורה</w:t>
      </w:r>
      <w:r w:rsidRPr="00E75D83">
        <w:rPr>
          <w:b/>
          <w:bCs/>
          <w:sz w:val="20"/>
          <w:rtl/>
        </w:rPr>
        <w:t xml:space="preserve"> </w:t>
      </w:r>
      <w:r w:rsidRPr="00E75D83">
        <w:rPr>
          <w:rFonts w:hint="eastAsia"/>
          <w:b/>
          <w:bCs/>
          <w:sz w:val="20"/>
          <w:rtl/>
        </w:rPr>
        <w:t>האזרחית</w:t>
      </w:r>
      <w:r w:rsidRPr="00E75D83">
        <w:rPr>
          <w:sz w:val="20"/>
          <w:rtl/>
        </w:rPr>
        <w:t>).</w:t>
      </w:r>
    </w:p>
  </w:footnote>
  <w:footnote w:id="11">
    <w:p w14:paraId="6DA83A81" w14:textId="1FBF0DFC" w:rsidR="00063AE7" w:rsidRPr="00E75D83" w:rsidRDefault="00063AE7" w:rsidP="00AA310B">
      <w:pPr>
        <w:pStyle w:val="a4"/>
        <w:jc w:val="both"/>
        <w:rPr>
          <w:sz w:val="20"/>
        </w:rPr>
      </w:pPr>
      <w:r w:rsidRPr="00E75D83">
        <w:rPr>
          <w:rStyle w:val="a3"/>
          <w:sz w:val="20"/>
        </w:rPr>
        <w:footnoteRef/>
      </w:r>
      <w:r w:rsidRPr="00E75D83">
        <w:rPr>
          <w:sz w:val="20"/>
          <w:rtl/>
        </w:rPr>
        <w:t xml:space="preserve"> </w:t>
      </w:r>
      <w:r w:rsidRPr="00E75D83">
        <w:rPr>
          <w:rFonts w:hint="eastAsia"/>
          <w:sz w:val="20"/>
          <w:rtl/>
        </w:rPr>
        <w:t>ראו</w:t>
      </w:r>
      <w:r w:rsidR="00513305">
        <w:rPr>
          <w:rFonts w:hint="cs"/>
          <w:sz w:val="20"/>
          <w:rtl/>
        </w:rPr>
        <w:t xml:space="preserve"> </w:t>
      </w:r>
      <w:r w:rsidRPr="00E75D83">
        <w:rPr>
          <w:rFonts w:hint="eastAsia"/>
          <w:sz w:val="20"/>
          <w:rtl/>
        </w:rPr>
        <w:t>למשל</w:t>
      </w:r>
      <w:r>
        <w:rPr>
          <w:rFonts w:hint="cs"/>
          <w:sz w:val="20"/>
          <w:rtl/>
        </w:rPr>
        <w:t>,</w:t>
      </w:r>
      <w:r w:rsidRPr="00E75D83">
        <w:rPr>
          <w:sz w:val="20"/>
          <w:rtl/>
        </w:rPr>
        <w:t xml:space="preserve"> </w:t>
      </w:r>
      <w:r w:rsidRPr="00E75D83">
        <w:rPr>
          <w:rFonts w:hint="eastAsia"/>
          <w:sz w:val="20"/>
          <w:rtl/>
        </w:rPr>
        <w:t>ברק</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Pr>
        <w:t xml:space="preserve"> </w:t>
      </w:r>
      <w:r w:rsidRPr="0070551B">
        <w:rPr>
          <w:sz w:val="20"/>
          <w:rtl/>
        </w:rPr>
        <w:fldChar w:fldCharType="begin"/>
      </w:r>
      <w:r w:rsidRPr="00E75D83">
        <w:rPr>
          <w:sz w:val="20"/>
          <w:rtl/>
        </w:rPr>
        <w:instrText xml:space="preserve"> </w:instrText>
      </w:r>
      <w:r w:rsidRPr="00E75D83">
        <w:rPr>
          <w:sz w:val="20"/>
        </w:rPr>
        <w:instrText>NOTEREF</w:instrText>
      </w:r>
      <w:r w:rsidRPr="00E75D83">
        <w:rPr>
          <w:sz w:val="20"/>
          <w:rtl/>
        </w:rPr>
        <w:instrText xml:space="preserve"> _</w:instrText>
      </w:r>
      <w:r w:rsidRPr="00E75D83">
        <w:rPr>
          <w:sz w:val="20"/>
        </w:rPr>
        <w:instrText>Ref497718045 \h</w:instrText>
      </w:r>
      <w:r w:rsidRPr="00E75D83">
        <w:rPr>
          <w:sz w:val="20"/>
          <w:rtl/>
        </w:rPr>
        <w:instrText xml:space="preserve"> </w:instrText>
      </w:r>
      <w:r>
        <w:rPr>
          <w:sz w:val="20"/>
          <w:rtl/>
        </w:rPr>
        <w:instrText xml:space="preserve"> \* </w:instrText>
      </w:r>
      <w:r>
        <w:rPr>
          <w:sz w:val="20"/>
        </w:rPr>
        <w:instrText>MERGEFORMAT</w:instrText>
      </w:r>
      <w:r>
        <w:rPr>
          <w:sz w:val="20"/>
          <w:rtl/>
        </w:rPr>
        <w:instrText xml:space="preserve"> </w:instrText>
      </w:r>
      <w:r w:rsidRPr="0070551B">
        <w:rPr>
          <w:sz w:val="20"/>
          <w:rtl/>
        </w:rPr>
      </w:r>
      <w:r w:rsidRPr="0070551B">
        <w:rPr>
          <w:sz w:val="20"/>
          <w:rtl/>
        </w:rPr>
        <w:fldChar w:fldCharType="separate"/>
      </w:r>
      <w:r>
        <w:rPr>
          <w:sz w:val="20"/>
          <w:rtl/>
        </w:rPr>
        <w:t>7</w:t>
      </w:r>
      <w:r w:rsidRPr="0070551B">
        <w:rPr>
          <w:sz w:val="20"/>
          <w:rtl/>
        </w:rPr>
        <w:fldChar w:fldCharType="end"/>
      </w:r>
      <w:r w:rsidRPr="00E75D83">
        <w:rPr>
          <w:sz w:val="20"/>
          <w:rtl/>
        </w:rPr>
        <w:t>, בעמ' 35, המוסיף כי משום שתפקידו של בית</w:t>
      </w:r>
      <w:r>
        <w:rPr>
          <w:rFonts w:hint="cs"/>
          <w:sz w:val="20"/>
          <w:rtl/>
        </w:rPr>
        <w:t xml:space="preserve"> </w:t>
      </w:r>
      <w:r w:rsidRPr="00E75D83">
        <w:rPr>
          <w:sz w:val="20"/>
          <w:rtl/>
        </w:rPr>
        <w:t>המשפט במסגרת הפרדת הרשויות הוא להכריע בסכסוכים בין הפרט לבין רשויות השלטון, פגיעה בזכות הגישה לבית</w:t>
      </w:r>
      <w:r>
        <w:rPr>
          <w:rFonts w:hint="cs"/>
          <w:sz w:val="20"/>
          <w:rtl/>
        </w:rPr>
        <w:t xml:space="preserve"> </w:t>
      </w:r>
      <w:r w:rsidRPr="00E75D83">
        <w:rPr>
          <w:sz w:val="20"/>
          <w:rtl/>
        </w:rPr>
        <w:t xml:space="preserve">המשפט מהווה למעשה פגיעה בעקרון הפרדת הרשויות. הגנה על עיקרון זה מהווה טעם נוסף לקיומה של הזכות; ניתן לציין כי לקיומה של הזכות קיים טעם שעניינו פיקוח וביקורת על מנגנוני השלטון והרתעה מפני ניצול לרעה של כוח השררה וכן כי הזכות היא תנאי למימוש מטרה מרכזית בהליך השיפוטי של גילוי וחקר האמת, ראו גם: ליאב אורגד ויורם רבין "זכות הגישה לערכאות של נתיני אויב" </w:t>
      </w:r>
      <w:r w:rsidRPr="00E75D83">
        <w:rPr>
          <w:b/>
          <w:bCs/>
          <w:sz w:val="20"/>
          <w:rtl/>
        </w:rPr>
        <w:t>מחקרי משפט</w:t>
      </w:r>
      <w:r w:rsidRPr="00E75D83">
        <w:rPr>
          <w:sz w:val="20"/>
          <w:rtl/>
        </w:rPr>
        <w:t xml:space="preserve"> כט 469, 474 (2014).</w:t>
      </w:r>
    </w:p>
  </w:footnote>
  <w:footnote w:id="12">
    <w:p w14:paraId="69D95681" w14:textId="06DF4F6C"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ברק</w:t>
      </w:r>
      <w:r w:rsidRPr="00E75D83">
        <w:rPr>
          <w:sz w:val="20"/>
          <w:rtl/>
        </w:rPr>
        <w:t xml:space="preserve">, </w:t>
      </w:r>
      <w:r w:rsidR="00513305">
        <w:rPr>
          <w:rFonts w:hint="cs"/>
          <w:sz w:val="20"/>
          <w:rtl/>
        </w:rPr>
        <w:t xml:space="preserve">לעיל </w:t>
      </w:r>
      <w:proofErr w:type="spellStart"/>
      <w:r w:rsidR="00513305">
        <w:rPr>
          <w:rFonts w:hint="cs"/>
          <w:sz w:val="20"/>
          <w:rtl/>
        </w:rPr>
        <w:t>ה"ש</w:t>
      </w:r>
      <w:proofErr w:type="spellEnd"/>
      <w:r w:rsidR="00513305">
        <w:rPr>
          <w:rFonts w:hint="cs"/>
          <w:sz w:val="20"/>
          <w:rtl/>
        </w:rPr>
        <w:t xml:space="preserve"> </w:t>
      </w:r>
      <w:r w:rsidR="00513305">
        <w:rPr>
          <w:sz w:val="20"/>
          <w:rtl/>
        </w:rPr>
        <w:fldChar w:fldCharType="begin"/>
      </w:r>
      <w:r w:rsidR="00513305">
        <w:rPr>
          <w:sz w:val="20"/>
          <w:rtl/>
        </w:rPr>
        <w:instrText xml:space="preserve"> </w:instrText>
      </w:r>
      <w:r w:rsidR="00513305">
        <w:rPr>
          <w:rFonts w:hint="cs"/>
          <w:sz w:val="20"/>
        </w:rPr>
        <w:instrText>NOTEREF</w:instrText>
      </w:r>
      <w:r w:rsidR="00513305">
        <w:rPr>
          <w:rFonts w:hint="cs"/>
          <w:sz w:val="20"/>
          <w:rtl/>
        </w:rPr>
        <w:instrText xml:space="preserve"> _</w:instrText>
      </w:r>
      <w:r w:rsidR="00513305">
        <w:rPr>
          <w:rFonts w:hint="cs"/>
          <w:sz w:val="20"/>
        </w:rPr>
        <w:instrText>Ref497718045 \p \h</w:instrText>
      </w:r>
      <w:r w:rsidR="00513305">
        <w:rPr>
          <w:sz w:val="20"/>
          <w:rtl/>
        </w:rPr>
        <w:instrText xml:space="preserve"> </w:instrText>
      </w:r>
      <w:r w:rsidR="00513305">
        <w:rPr>
          <w:sz w:val="20"/>
          <w:rtl/>
        </w:rPr>
      </w:r>
      <w:r w:rsidR="00513305">
        <w:rPr>
          <w:sz w:val="20"/>
          <w:rtl/>
        </w:rPr>
        <w:fldChar w:fldCharType="separate"/>
      </w:r>
      <w:r w:rsidR="00513305">
        <w:rPr>
          <w:sz w:val="20"/>
          <w:rtl/>
        </w:rPr>
        <w:t>7</w:t>
      </w:r>
      <w:r w:rsidR="00513305">
        <w:rPr>
          <w:sz w:val="20"/>
          <w:rtl/>
        </w:rPr>
        <w:fldChar w:fldCharType="end"/>
      </w:r>
      <w:r w:rsidRPr="00E75D83">
        <w:rPr>
          <w:sz w:val="20"/>
          <w:rtl/>
        </w:rPr>
        <w:t>, בעמ' 33.</w:t>
      </w:r>
    </w:p>
  </w:footnote>
  <w:footnote w:id="13">
    <w:p w14:paraId="51D88594" w14:textId="698AF495" w:rsidR="00063AE7" w:rsidRPr="00E75D83" w:rsidRDefault="00063AE7" w:rsidP="007C375C">
      <w:pPr>
        <w:pStyle w:val="a4"/>
        <w:jc w:val="both"/>
        <w:rPr>
          <w:rFonts w:asciiTheme="majorBidi" w:hAnsiTheme="majorBidi" w:cstheme="majorBidi"/>
          <w:sz w:val="20"/>
          <w:rtl/>
        </w:rPr>
      </w:pPr>
      <w:r w:rsidRPr="002537B1">
        <w:rPr>
          <w:rStyle w:val="a3"/>
          <w:sz w:val="20"/>
        </w:rPr>
        <w:footnoteRef/>
      </w:r>
      <w:r w:rsidRPr="002537B1">
        <w:rPr>
          <w:sz w:val="20"/>
          <w:rtl/>
        </w:rPr>
        <w:t xml:space="preserve"> </w:t>
      </w:r>
      <w:r w:rsidRPr="002537B1">
        <w:rPr>
          <w:rFonts w:hint="eastAsia"/>
          <w:sz w:val="20"/>
          <w:rtl/>
        </w:rPr>
        <w:t>למחקר</w:t>
      </w:r>
      <w:r w:rsidRPr="002537B1">
        <w:rPr>
          <w:sz w:val="20"/>
          <w:rtl/>
        </w:rPr>
        <w:t xml:space="preserve"> </w:t>
      </w:r>
      <w:r w:rsidRPr="002537B1">
        <w:rPr>
          <w:rFonts w:hint="eastAsia"/>
          <w:sz w:val="20"/>
          <w:rtl/>
        </w:rPr>
        <w:t>המתייחס</w:t>
      </w:r>
      <w:r w:rsidRPr="002537B1">
        <w:rPr>
          <w:sz w:val="20"/>
          <w:rtl/>
        </w:rPr>
        <w:t xml:space="preserve"> </w:t>
      </w:r>
      <w:r w:rsidRPr="002537B1">
        <w:rPr>
          <w:rFonts w:hint="eastAsia"/>
          <w:sz w:val="20"/>
          <w:rtl/>
        </w:rPr>
        <w:t>לחלוקה</w:t>
      </w:r>
      <w:r w:rsidRPr="002537B1">
        <w:rPr>
          <w:sz w:val="20"/>
          <w:rtl/>
        </w:rPr>
        <w:t xml:space="preserve"> </w:t>
      </w:r>
      <w:r w:rsidRPr="002537B1">
        <w:rPr>
          <w:rFonts w:hint="eastAsia"/>
          <w:sz w:val="20"/>
          <w:rtl/>
        </w:rPr>
        <w:t>דומה</w:t>
      </w:r>
      <w:r w:rsidRPr="002537B1">
        <w:rPr>
          <w:sz w:val="20"/>
          <w:rtl/>
        </w:rPr>
        <w:t xml:space="preserve"> </w:t>
      </w:r>
      <w:r w:rsidRPr="002537B1">
        <w:rPr>
          <w:rFonts w:hint="eastAsia"/>
          <w:sz w:val="20"/>
          <w:rtl/>
        </w:rPr>
        <w:t>במדינות</w:t>
      </w:r>
      <w:r w:rsidRPr="002537B1">
        <w:rPr>
          <w:sz w:val="20"/>
          <w:rtl/>
        </w:rPr>
        <w:t xml:space="preserve"> </w:t>
      </w:r>
      <w:r w:rsidRPr="002537B1">
        <w:rPr>
          <w:rFonts w:hint="eastAsia"/>
          <w:sz w:val="20"/>
          <w:rtl/>
        </w:rPr>
        <w:t>השונות</w:t>
      </w:r>
      <w:r w:rsidRPr="002537B1">
        <w:rPr>
          <w:sz w:val="20"/>
          <w:rtl/>
        </w:rPr>
        <w:t xml:space="preserve"> </w:t>
      </w:r>
      <w:r w:rsidRPr="002537B1">
        <w:rPr>
          <w:rFonts w:hint="eastAsia"/>
          <w:sz w:val="20"/>
          <w:rtl/>
        </w:rPr>
        <w:t>של</w:t>
      </w:r>
      <w:r w:rsidRPr="002537B1">
        <w:rPr>
          <w:sz w:val="20"/>
          <w:rtl/>
        </w:rPr>
        <w:t xml:space="preserve"> </w:t>
      </w:r>
      <w:r w:rsidRPr="002537B1">
        <w:rPr>
          <w:rFonts w:hint="eastAsia"/>
          <w:sz w:val="20"/>
          <w:rtl/>
        </w:rPr>
        <w:t>ארצות</w:t>
      </w:r>
      <w:r w:rsidRPr="002537B1">
        <w:rPr>
          <w:sz w:val="20"/>
          <w:rtl/>
        </w:rPr>
        <w:t xml:space="preserve"> </w:t>
      </w:r>
      <w:r w:rsidRPr="002537B1">
        <w:rPr>
          <w:rFonts w:hint="eastAsia"/>
          <w:sz w:val="20"/>
          <w:rtl/>
        </w:rPr>
        <w:t>הברית</w:t>
      </w:r>
      <w:r w:rsidRPr="002537B1">
        <w:rPr>
          <w:sz w:val="20"/>
          <w:rtl/>
        </w:rPr>
        <w:t xml:space="preserve"> </w:t>
      </w:r>
      <w:r w:rsidRPr="002537B1">
        <w:rPr>
          <w:rFonts w:hint="eastAsia"/>
          <w:sz w:val="20"/>
          <w:rtl/>
        </w:rPr>
        <w:t>ראו</w:t>
      </w:r>
      <w:r w:rsidRPr="002537B1">
        <w:rPr>
          <w:rFonts w:asciiTheme="majorBidi" w:hAnsiTheme="majorBidi" w:cstheme="majorBidi"/>
          <w:sz w:val="20"/>
          <w:rtl/>
        </w:rPr>
        <w:t xml:space="preserve">: </w:t>
      </w:r>
      <w:r w:rsidRPr="002537B1">
        <w:rPr>
          <w:rFonts w:asciiTheme="majorBidi" w:hAnsiTheme="majorBidi" w:cstheme="majorBidi"/>
          <w:sz w:val="20"/>
        </w:rPr>
        <w:t>Gerry W. Beyer</w:t>
      </w:r>
      <w:r w:rsidR="00513305">
        <w:rPr>
          <w:rFonts w:asciiTheme="majorBidi" w:hAnsiTheme="majorBidi" w:cstheme="majorBidi"/>
          <w:sz w:val="20"/>
        </w:rPr>
        <w:t xml:space="preserve"> et al.</w:t>
      </w:r>
      <w:r w:rsidRPr="002537B1">
        <w:rPr>
          <w:rFonts w:asciiTheme="majorBidi" w:hAnsiTheme="majorBidi" w:cstheme="majorBidi"/>
          <w:sz w:val="20"/>
        </w:rPr>
        <w:t xml:space="preserve">, </w:t>
      </w:r>
      <w:r w:rsidRPr="002537B1">
        <w:rPr>
          <w:rFonts w:asciiTheme="majorBidi" w:hAnsiTheme="majorBidi" w:cstheme="majorBidi"/>
          <w:i/>
          <w:iCs/>
          <w:sz w:val="20"/>
        </w:rPr>
        <w:t xml:space="preserve">The Fine Art of Intimidating Disgruntled Beneficiaries </w:t>
      </w:r>
      <w:proofErr w:type="gramStart"/>
      <w:r w:rsidRPr="002537B1">
        <w:rPr>
          <w:rFonts w:asciiTheme="majorBidi" w:hAnsiTheme="majorBidi" w:cstheme="majorBidi"/>
          <w:i/>
          <w:iCs/>
          <w:sz w:val="20"/>
        </w:rPr>
        <w:t>With</w:t>
      </w:r>
      <w:proofErr w:type="gramEnd"/>
      <w:r w:rsidRPr="002537B1">
        <w:rPr>
          <w:rFonts w:asciiTheme="majorBidi" w:hAnsiTheme="majorBidi" w:cstheme="majorBidi"/>
          <w:i/>
          <w:iCs/>
          <w:sz w:val="20"/>
        </w:rPr>
        <w:t xml:space="preserve"> in Terrorem Clauses</w:t>
      </w:r>
      <w:r w:rsidRPr="002537B1">
        <w:rPr>
          <w:rFonts w:asciiTheme="majorBidi" w:hAnsiTheme="majorBidi" w:cstheme="majorBidi"/>
          <w:sz w:val="20"/>
        </w:rPr>
        <w:t xml:space="preserve">, 51 </w:t>
      </w:r>
      <w:proofErr w:type="spellStart"/>
      <w:r w:rsidRPr="002537B1">
        <w:rPr>
          <w:rFonts w:asciiTheme="majorBidi" w:hAnsiTheme="majorBidi" w:cstheme="majorBidi"/>
          <w:smallCaps/>
          <w:sz w:val="20"/>
        </w:rPr>
        <w:t>S</w:t>
      </w:r>
      <w:r w:rsidR="00513305">
        <w:rPr>
          <w:rFonts w:asciiTheme="majorBidi" w:hAnsiTheme="majorBidi" w:cstheme="majorBidi"/>
          <w:smallCaps/>
          <w:sz w:val="20"/>
        </w:rPr>
        <w:t>mu</w:t>
      </w:r>
      <w:proofErr w:type="spellEnd"/>
      <w:r w:rsidRPr="002537B1">
        <w:rPr>
          <w:rFonts w:asciiTheme="majorBidi" w:hAnsiTheme="majorBidi" w:cstheme="majorBidi"/>
          <w:smallCaps/>
          <w:sz w:val="20"/>
        </w:rPr>
        <w:t xml:space="preserve"> L. Rev.</w:t>
      </w:r>
      <w:r w:rsidRPr="002537B1">
        <w:rPr>
          <w:rFonts w:asciiTheme="majorBidi" w:hAnsiTheme="majorBidi" w:cstheme="majorBidi"/>
          <w:sz w:val="20"/>
        </w:rPr>
        <w:t>225 (1998)</w:t>
      </w:r>
      <w:r w:rsidRPr="002537B1">
        <w:rPr>
          <w:rFonts w:asciiTheme="majorBidi" w:hAnsiTheme="majorBidi" w:cstheme="majorBidi"/>
          <w:sz w:val="20"/>
          <w:rtl/>
        </w:rPr>
        <w:t>.</w:t>
      </w:r>
    </w:p>
  </w:footnote>
  <w:footnote w:id="14">
    <w:p w14:paraId="7A895C1F" w14:textId="77777777" w:rsidR="00063AE7" w:rsidRPr="00E75D83" w:rsidRDefault="00063AE7" w:rsidP="00A61F08">
      <w:pPr>
        <w:pStyle w:val="a4"/>
        <w:rPr>
          <w:sz w:val="20"/>
          <w:rtl/>
        </w:rPr>
      </w:pPr>
      <w:r w:rsidRPr="00E75D83">
        <w:rPr>
          <w:rStyle w:val="a3"/>
          <w:sz w:val="20"/>
        </w:rPr>
        <w:footnoteRef/>
      </w:r>
      <w:r w:rsidRPr="00E75D83">
        <w:rPr>
          <w:sz w:val="20"/>
          <w:rtl/>
        </w:rPr>
        <w:t xml:space="preserve"> </w:t>
      </w:r>
      <w:r w:rsidRPr="00E75D83">
        <w:rPr>
          <w:rFonts w:hint="eastAsia"/>
          <w:sz w:val="20"/>
          <w:rtl/>
        </w:rPr>
        <w:t>דרישות</w:t>
      </w:r>
      <w:r w:rsidRPr="00E75D83">
        <w:rPr>
          <w:sz w:val="20"/>
          <w:rtl/>
        </w:rPr>
        <w:t xml:space="preserve"> כאלו יידונו בהמשך בפרק על הסקירה המשווה. </w:t>
      </w:r>
    </w:p>
  </w:footnote>
  <w:footnote w:id="15">
    <w:p w14:paraId="02A01DE8" w14:textId="77777777" w:rsidR="00063AE7" w:rsidRPr="002537B1" w:rsidRDefault="00063AE7" w:rsidP="00AA310B">
      <w:pPr>
        <w:pStyle w:val="a4"/>
        <w:jc w:val="both"/>
        <w:rPr>
          <w:sz w:val="20"/>
          <w:rtl/>
        </w:rPr>
      </w:pPr>
      <w:r w:rsidRPr="002537B1">
        <w:rPr>
          <w:rStyle w:val="a3"/>
          <w:sz w:val="20"/>
        </w:rPr>
        <w:footnoteRef/>
      </w:r>
      <w:r w:rsidRPr="002537B1">
        <w:rPr>
          <w:sz w:val="20"/>
          <w:rtl/>
        </w:rPr>
        <w:t xml:space="preserve"> </w:t>
      </w:r>
      <w:proofErr w:type="gramStart"/>
      <w:r w:rsidRPr="002537B1">
        <w:rPr>
          <w:sz w:val="20"/>
        </w:rPr>
        <w:t xml:space="preserve">Begleiter </w:t>
      </w:r>
      <w:r w:rsidRPr="002537B1">
        <w:rPr>
          <w:smallCaps/>
          <w:sz w:val="20"/>
          <w:rtl/>
        </w:rPr>
        <w:t>,</w:t>
      </w:r>
      <w:proofErr w:type="gramEnd"/>
      <w:r w:rsidRPr="002537B1">
        <w:rPr>
          <w:smallCaps/>
          <w:sz w:val="20"/>
          <w:rtl/>
        </w:rPr>
        <w:t xml:space="preserve"> לעיל </w:t>
      </w:r>
      <w:proofErr w:type="spellStart"/>
      <w:r w:rsidRPr="002537B1">
        <w:rPr>
          <w:smallCaps/>
          <w:sz w:val="20"/>
          <w:rtl/>
        </w:rPr>
        <w:t>ה"ש</w:t>
      </w:r>
      <w:proofErr w:type="spellEnd"/>
      <w:r w:rsidRPr="002537B1">
        <w:rPr>
          <w:smallCaps/>
          <w:sz w:val="20"/>
        </w:rPr>
        <w:t xml:space="preserve"> </w:t>
      </w:r>
      <w:r w:rsidRPr="002537B1">
        <w:rPr>
          <w:smallCaps/>
          <w:sz w:val="20"/>
          <w:rtl/>
        </w:rPr>
        <w:fldChar w:fldCharType="begin"/>
      </w:r>
      <w:r w:rsidRPr="002537B1">
        <w:rPr>
          <w:smallCaps/>
          <w:sz w:val="20"/>
          <w:rtl/>
        </w:rPr>
        <w:instrText xml:space="preserve"> </w:instrText>
      </w:r>
      <w:r w:rsidRPr="002537B1">
        <w:rPr>
          <w:smallCaps/>
          <w:sz w:val="20"/>
        </w:rPr>
        <w:instrText>NOTEREF</w:instrText>
      </w:r>
      <w:r w:rsidRPr="002537B1">
        <w:rPr>
          <w:smallCaps/>
          <w:sz w:val="20"/>
          <w:rtl/>
        </w:rPr>
        <w:instrText xml:space="preserve"> _</w:instrText>
      </w:r>
      <w:r w:rsidRPr="002537B1">
        <w:rPr>
          <w:smallCaps/>
          <w:sz w:val="20"/>
        </w:rPr>
        <w:instrText>Ref497718253 \h</w:instrText>
      </w:r>
      <w:r w:rsidRPr="002537B1">
        <w:rPr>
          <w:smallCaps/>
          <w:sz w:val="20"/>
          <w:rtl/>
        </w:rPr>
        <w:instrText xml:space="preserve">  \* </w:instrText>
      </w:r>
      <w:r w:rsidRPr="002537B1">
        <w:rPr>
          <w:smallCaps/>
          <w:sz w:val="20"/>
        </w:rPr>
        <w:instrText>MERGEFORMAT</w:instrText>
      </w:r>
      <w:r w:rsidRPr="002537B1">
        <w:rPr>
          <w:smallCaps/>
          <w:sz w:val="20"/>
          <w:rtl/>
        </w:rPr>
        <w:instrText xml:space="preserve"> </w:instrText>
      </w:r>
      <w:r w:rsidRPr="002537B1">
        <w:rPr>
          <w:smallCaps/>
          <w:sz w:val="20"/>
          <w:rtl/>
        </w:rPr>
      </w:r>
      <w:r w:rsidRPr="002537B1">
        <w:rPr>
          <w:smallCaps/>
          <w:sz w:val="20"/>
          <w:rtl/>
        </w:rPr>
        <w:fldChar w:fldCharType="separate"/>
      </w:r>
      <w:r>
        <w:rPr>
          <w:smallCaps/>
          <w:sz w:val="20"/>
          <w:rtl/>
        </w:rPr>
        <w:t>6</w:t>
      </w:r>
      <w:r w:rsidRPr="002537B1">
        <w:rPr>
          <w:smallCaps/>
          <w:sz w:val="20"/>
          <w:rtl/>
        </w:rPr>
        <w:fldChar w:fldCharType="end"/>
      </w:r>
      <w:r w:rsidRPr="002537B1">
        <w:rPr>
          <w:smallCaps/>
          <w:sz w:val="20"/>
          <w:rtl/>
        </w:rPr>
        <w:t>, בעמ' 631; להרחבה על הצדקות אלו ראו: שם, בעמ' 632–641.</w:t>
      </w:r>
      <w:r w:rsidRPr="002537B1">
        <w:rPr>
          <w:sz w:val="20"/>
        </w:rPr>
        <w:t xml:space="preserve"> </w:t>
      </w:r>
    </w:p>
  </w:footnote>
  <w:footnote w:id="16">
    <w:p w14:paraId="53A7FE82" w14:textId="77777777" w:rsidR="00063AE7" w:rsidRPr="002537B1" w:rsidRDefault="00063AE7" w:rsidP="001244A5">
      <w:pPr>
        <w:pStyle w:val="a4"/>
        <w:jc w:val="both"/>
        <w:rPr>
          <w:sz w:val="20"/>
          <w:rtl/>
        </w:rPr>
      </w:pPr>
      <w:r w:rsidRPr="002537B1">
        <w:rPr>
          <w:rStyle w:val="a3"/>
          <w:sz w:val="20"/>
        </w:rPr>
        <w:footnoteRef/>
      </w:r>
      <w:r w:rsidRPr="002537B1">
        <w:rPr>
          <w:sz w:val="20"/>
          <w:rtl/>
        </w:rPr>
        <w:t xml:space="preserve"> </w:t>
      </w:r>
      <w:r w:rsidRPr="002537B1">
        <w:rPr>
          <w:rFonts w:hint="eastAsia"/>
          <w:sz w:val="20"/>
          <w:rtl/>
        </w:rPr>
        <w:t>שם</w:t>
      </w:r>
      <w:r w:rsidRPr="002537B1">
        <w:rPr>
          <w:sz w:val="20"/>
          <w:rtl/>
        </w:rPr>
        <w:t xml:space="preserve">, בעמ' 632. </w:t>
      </w:r>
      <w:r w:rsidRPr="002537B1">
        <w:rPr>
          <w:sz w:val="20"/>
        </w:rPr>
        <w:t>Begleiter</w:t>
      </w:r>
      <w:r w:rsidRPr="002537B1">
        <w:rPr>
          <w:sz w:val="20"/>
          <w:rtl/>
        </w:rPr>
        <w:t xml:space="preserve"> מתייחס לשלוש הצדקות בלבד, ודן בהצדקה השנייה והשלישית במאוחד. להרחבה על הצדקות אלו ראו: שם, בעמ' 640–648.</w:t>
      </w:r>
    </w:p>
  </w:footnote>
  <w:footnote w:id="17">
    <w:p w14:paraId="6EDBA807" w14:textId="04B8A083" w:rsidR="00063AE7" w:rsidRPr="00E75D83" w:rsidRDefault="00063AE7" w:rsidP="00316CF9">
      <w:pPr>
        <w:pStyle w:val="a4"/>
        <w:jc w:val="both"/>
        <w:rPr>
          <w:sz w:val="20"/>
          <w:rtl/>
        </w:rPr>
      </w:pPr>
      <w:r w:rsidRPr="00E75D83">
        <w:rPr>
          <w:rStyle w:val="a3"/>
          <w:sz w:val="20"/>
        </w:rPr>
        <w:footnoteRef/>
      </w:r>
      <w:r w:rsidRPr="00E75D83">
        <w:rPr>
          <w:sz w:val="20"/>
          <w:rtl/>
        </w:rPr>
        <w:t xml:space="preserve"> </w:t>
      </w:r>
      <w:r w:rsidRPr="00E75D83">
        <w:rPr>
          <w:smallCaps/>
          <w:sz w:val="20"/>
        </w:rPr>
        <w:t>Jesse Dukeminier</w:t>
      </w:r>
      <w:r w:rsidR="00513305">
        <w:rPr>
          <w:smallCaps/>
          <w:sz w:val="20"/>
        </w:rPr>
        <w:t xml:space="preserve"> et al.</w:t>
      </w:r>
      <w:r w:rsidRPr="00E75D83">
        <w:rPr>
          <w:sz w:val="20"/>
        </w:rPr>
        <w:t xml:space="preserve">, </w:t>
      </w:r>
      <w:r w:rsidRPr="00E75D83">
        <w:rPr>
          <w:smallCaps/>
          <w:sz w:val="20"/>
        </w:rPr>
        <w:t>Wills, Trusts and Estates 307 (</w:t>
      </w:r>
      <w:r w:rsidRPr="00E75D83">
        <w:rPr>
          <w:sz w:val="20"/>
        </w:rPr>
        <w:t>9th ed. 2013)</w:t>
      </w:r>
      <w:r w:rsidRPr="00E75D83">
        <w:rPr>
          <w:sz w:val="20"/>
          <w:rtl/>
        </w:rPr>
        <w:t>.</w:t>
      </w:r>
    </w:p>
  </w:footnote>
  <w:footnote w:id="18">
    <w:p w14:paraId="7BCA0D79" w14:textId="77777777" w:rsidR="00063AE7" w:rsidRPr="00E75D83" w:rsidRDefault="00063AE7" w:rsidP="002537B1">
      <w:pPr>
        <w:pStyle w:val="a4"/>
        <w:jc w:val="both"/>
        <w:rPr>
          <w:i/>
          <w:iCs/>
          <w:sz w:val="20"/>
          <w:rtl/>
        </w:rPr>
      </w:pPr>
      <w:r w:rsidRPr="00E75D83">
        <w:rPr>
          <w:rStyle w:val="a3"/>
          <w:sz w:val="20"/>
        </w:rPr>
        <w:footnoteRef/>
      </w:r>
      <w:r w:rsidRPr="00E75D83">
        <w:rPr>
          <w:sz w:val="20"/>
          <w:rtl/>
        </w:rPr>
        <w:t xml:space="preserve"> </w:t>
      </w:r>
      <w:r w:rsidRPr="00E75D83">
        <w:rPr>
          <w:rFonts w:hint="eastAsia"/>
          <w:sz w:val="20"/>
          <w:rtl/>
        </w:rPr>
        <w:t>ראו</w:t>
      </w:r>
      <w:r w:rsidRPr="00E75D83">
        <w:rPr>
          <w:sz w:val="20"/>
          <w:rtl/>
        </w:rPr>
        <w:t xml:space="preserve">: </w:t>
      </w:r>
      <w:r w:rsidRPr="00E75D83">
        <w:rPr>
          <w:sz w:val="20"/>
        </w:rPr>
        <w:t xml:space="preserve">Deborah S. Gordon, </w:t>
      </w:r>
      <w:r w:rsidRPr="00E75D83">
        <w:rPr>
          <w:i/>
          <w:iCs/>
          <w:sz w:val="20"/>
        </w:rPr>
        <w:t>Forfeiting Trust</w:t>
      </w:r>
      <w:r w:rsidRPr="00E75D83">
        <w:rPr>
          <w:sz w:val="20"/>
        </w:rPr>
        <w:t xml:space="preserve">, 57 </w:t>
      </w:r>
      <w:r w:rsidRPr="00E75D83">
        <w:rPr>
          <w:smallCaps/>
          <w:sz w:val="20"/>
        </w:rPr>
        <w:t>Wm &amp; Mary L. Rev. 455, 468 (2015)</w:t>
      </w:r>
      <w:r w:rsidRPr="00E75D83">
        <w:rPr>
          <w:smallCaps/>
          <w:sz w:val="20"/>
          <w:rtl/>
        </w:rPr>
        <w:t>.</w:t>
      </w:r>
      <w:r w:rsidRPr="00E75D83">
        <w:rPr>
          <w:i/>
          <w:iCs/>
          <w:sz w:val="20"/>
        </w:rPr>
        <w:t xml:space="preserve"> </w:t>
      </w:r>
    </w:p>
  </w:footnote>
  <w:footnote w:id="19">
    <w:p w14:paraId="1173E1C2" w14:textId="63A7AFCE" w:rsidR="00063AE7" w:rsidRPr="00E75D83" w:rsidRDefault="00063AE7" w:rsidP="00EF6A01">
      <w:pPr>
        <w:overflowPunct/>
        <w:jc w:val="both"/>
        <w:textAlignment w:val="auto"/>
        <w:rPr>
          <w:rFonts w:asciiTheme="majorBidi" w:eastAsia="Calibri" w:hAnsiTheme="majorBidi" w:cstheme="majorBidi"/>
          <w:sz w:val="20"/>
          <w:szCs w:val="20"/>
          <w:shd w:val="clear" w:color="auto" w:fill="FFFFFF"/>
          <w:rtl/>
        </w:rPr>
      </w:pPr>
      <w:r w:rsidRPr="00E75D83">
        <w:rPr>
          <w:rStyle w:val="a3"/>
          <w:sz w:val="20"/>
          <w:szCs w:val="20"/>
        </w:rPr>
        <w:footnoteRef/>
      </w:r>
      <w:r w:rsidRPr="00E75D83">
        <w:rPr>
          <w:sz w:val="20"/>
          <w:szCs w:val="20"/>
          <w:rtl/>
        </w:rPr>
        <w:t xml:space="preserve"> </w:t>
      </w:r>
      <w:r w:rsidRPr="00E75D83">
        <w:rPr>
          <w:rFonts w:hint="eastAsia"/>
          <w:sz w:val="20"/>
          <w:szCs w:val="20"/>
          <w:rtl/>
        </w:rPr>
        <w:t>כך</w:t>
      </w:r>
      <w:r>
        <w:rPr>
          <w:rFonts w:hint="cs"/>
          <w:sz w:val="20"/>
          <w:szCs w:val="20"/>
          <w:rtl/>
        </w:rPr>
        <w:t>,</w:t>
      </w:r>
      <w:r w:rsidRPr="00E75D83">
        <w:rPr>
          <w:sz w:val="20"/>
          <w:szCs w:val="20"/>
          <w:rtl/>
        </w:rPr>
        <w:t xml:space="preserve"> </w:t>
      </w:r>
      <w:r w:rsidRPr="002537B1">
        <w:rPr>
          <w:rFonts w:hint="eastAsia"/>
          <w:sz w:val="20"/>
          <w:szCs w:val="20"/>
          <w:rtl/>
        </w:rPr>
        <w:t>למשל</w:t>
      </w:r>
      <w:r>
        <w:rPr>
          <w:rFonts w:hint="cs"/>
          <w:sz w:val="20"/>
          <w:szCs w:val="20"/>
          <w:rtl/>
        </w:rPr>
        <w:t>,</w:t>
      </w:r>
      <w:r w:rsidRPr="002537B1">
        <w:rPr>
          <w:sz w:val="20"/>
          <w:szCs w:val="20"/>
          <w:rtl/>
        </w:rPr>
        <w:t xml:space="preserve"> </w:t>
      </w:r>
      <w:r w:rsidRPr="002537B1">
        <w:rPr>
          <w:rFonts w:hint="eastAsia"/>
          <w:sz w:val="20"/>
          <w:szCs w:val="20"/>
          <w:rtl/>
        </w:rPr>
        <w:t>במדינת</w:t>
      </w:r>
      <w:r w:rsidRPr="002537B1">
        <w:rPr>
          <w:sz w:val="20"/>
          <w:szCs w:val="20"/>
          <w:rtl/>
        </w:rPr>
        <w:t xml:space="preserve"> </w:t>
      </w:r>
      <w:r w:rsidRPr="002537B1">
        <w:rPr>
          <w:rFonts w:hint="eastAsia"/>
          <w:sz w:val="20"/>
          <w:szCs w:val="20"/>
          <w:rtl/>
        </w:rPr>
        <w:t>אלבמה</w:t>
      </w:r>
      <w:r w:rsidRPr="002537B1">
        <w:rPr>
          <w:sz w:val="20"/>
          <w:szCs w:val="20"/>
          <w:rtl/>
        </w:rPr>
        <w:t xml:space="preserve"> </w:t>
      </w:r>
      <w:r w:rsidRPr="002537B1">
        <w:rPr>
          <w:rFonts w:hint="eastAsia"/>
          <w:sz w:val="20"/>
          <w:szCs w:val="20"/>
          <w:rtl/>
        </w:rPr>
        <w:t>טרם</w:t>
      </w:r>
      <w:r w:rsidRPr="002537B1">
        <w:rPr>
          <w:sz w:val="20"/>
          <w:szCs w:val="20"/>
          <w:rtl/>
        </w:rPr>
        <w:t xml:space="preserve"> </w:t>
      </w:r>
      <w:r w:rsidRPr="002537B1">
        <w:rPr>
          <w:rFonts w:hint="eastAsia"/>
          <w:sz w:val="20"/>
          <w:szCs w:val="20"/>
          <w:rtl/>
        </w:rPr>
        <w:t>הוסדר</w:t>
      </w:r>
      <w:r w:rsidRPr="002537B1">
        <w:rPr>
          <w:sz w:val="20"/>
          <w:szCs w:val="20"/>
          <w:rtl/>
        </w:rPr>
        <w:t xml:space="preserve"> </w:t>
      </w:r>
      <w:r w:rsidRPr="002537B1">
        <w:rPr>
          <w:rFonts w:hint="eastAsia"/>
          <w:sz w:val="20"/>
          <w:szCs w:val="20"/>
          <w:rtl/>
        </w:rPr>
        <w:t>הנושא</w:t>
      </w:r>
      <w:r w:rsidRPr="002537B1">
        <w:rPr>
          <w:sz w:val="20"/>
          <w:szCs w:val="20"/>
          <w:rtl/>
        </w:rPr>
        <w:t xml:space="preserve"> </w:t>
      </w:r>
      <w:r w:rsidRPr="002537B1">
        <w:rPr>
          <w:rFonts w:hint="eastAsia"/>
          <w:sz w:val="20"/>
          <w:szCs w:val="20"/>
          <w:rtl/>
        </w:rPr>
        <w:t>בחקיקה</w:t>
      </w:r>
      <w:r w:rsidRPr="002537B1">
        <w:rPr>
          <w:sz w:val="20"/>
          <w:szCs w:val="20"/>
          <w:rtl/>
        </w:rPr>
        <w:t xml:space="preserve">, </w:t>
      </w:r>
      <w:r w:rsidRPr="002537B1">
        <w:rPr>
          <w:rFonts w:hint="eastAsia"/>
          <w:sz w:val="20"/>
          <w:szCs w:val="20"/>
          <w:rtl/>
        </w:rPr>
        <w:t>ובתי</w:t>
      </w:r>
      <w:r w:rsidRPr="002537B1">
        <w:rPr>
          <w:sz w:val="20"/>
          <w:szCs w:val="20"/>
          <w:rtl/>
        </w:rPr>
        <w:t xml:space="preserve"> </w:t>
      </w:r>
      <w:r w:rsidRPr="002537B1">
        <w:rPr>
          <w:rFonts w:hint="eastAsia"/>
          <w:sz w:val="20"/>
          <w:szCs w:val="20"/>
          <w:rtl/>
        </w:rPr>
        <w:t>המשפט</w:t>
      </w:r>
      <w:r w:rsidRPr="002537B1">
        <w:rPr>
          <w:sz w:val="20"/>
          <w:szCs w:val="20"/>
          <w:rtl/>
        </w:rPr>
        <w:t xml:space="preserve"> </w:t>
      </w:r>
      <w:r w:rsidRPr="002537B1">
        <w:rPr>
          <w:rFonts w:hint="eastAsia"/>
          <w:sz w:val="20"/>
          <w:szCs w:val="20"/>
          <w:rtl/>
        </w:rPr>
        <w:t>שלפתחם</w:t>
      </w:r>
      <w:r w:rsidRPr="002537B1">
        <w:rPr>
          <w:sz w:val="20"/>
          <w:szCs w:val="20"/>
          <w:rtl/>
        </w:rPr>
        <w:t xml:space="preserve"> </w:t>
      </w:r>
      <w:r w:rsidRPr="002537B1">
        <w:rPr>
          <w:rFonts w:hint="eastAsia"/>
          <w:sz w:val="20"/>
          <w:szCs w:val="20"/>
          <w:rtl/>
        </w:rPr>
        <w:t>הובאו</w:t>
      </w:r>
      <w:r w:rsidRPr="002537B1">
        <w:rPr>
          <w:sz w:val="20"/>
          <w:szCs w:val="20"/>
          <w:rtl/>
        </w:rPr>
        <w:t xml:space="preserve"> </w:t>
      </w:r>
      <w:r w:rsidRPr="002537B1">
        <w:rPr>
          <w:rFonts w:hint="eastAsia"/>
          <w:sz w:val="20"/>
          <w:szCs w:val="20"/>
          <w:rtl/>
        </w:rPr>
        <w:t>תניות</w:t>
      </w:r>
      <w:r w:rsidRPr="002537B1">
        <w:rPr>
          <w:sz w:val="20"/>
          <w:szCs w:val="20"/>
          <w:rtl/>
        </w:rPr>
        <w:t xml:space="preserve"> </w:t>
      </w:r>
      <w:r w:rsidRPr="002537B1">
        <w:rPr>
          <w:rFonts w:hint="eastAsia"/>
          <w:sz w:val="20"/>
          <w:szCs w:val="20"/>
          <w:rtl/>
        </w:rPr>
        <w:t>סילוקין</w:t>
      </w:r>
      <w:r w:rsidRPr="002537B1">
        <w:rPr>
          <w:sz w:val="20"/>
          <w:szCs w:val="20"/>
          <w:rtl/>
        </w:rPr>
        <w:t xml:space="preserve"> </w:t>
      </w:r>
      <w:r w:rsidRPr="002537B1">
        <w:rPr>
          <w:rFonts w:hint="eastAsia"/>
          <w:sz w:val="20"/>
          <w:szCs w:val="20"/>
          <w:rtl/>
        </w:rPr>
        <w:t>לא</w:t>
      </w:r>
      <w:r w:rsidRPr="002537B1">
        <w:rPr>
          <w:sz w:val="20"/>
          <w:szCs w:val="20"/>
          <w:rtl/>
        </w:rPr>
        <w:t xml:space="preserve"> </w:t>
      </w:r>
      <w:r w:rsidRPr="002537B1">
        <w:rPr>
          <w:rFonts w:hint="eastAsia"/>
          <w:sz w:val="20"/>
          <w:szCs w:val="20"/>
          <w:rtl/>
        </w:rPr>
        <w:t>דנו</w:t>
      </w:r>
      <w:r w:rsidRPr="002537B1">
        <w:rPr>
          <w:sz w:val="20"/>
          <w:szCs w:val="20"/>
          <w:rtl/>
        </w:rPr>
        <w:t xml:space="preserve"> </w:t>
      </w:r>
      <w:r w:rsidRPr="002537B1">
        <w:rPr>
          <w:rFonts w:hint="eastAsia"/>
          <w:sz w:val="20"/>
          <w:szCs w:val="20"/>
          <w:rtl/>
        </w:rPr>
        <w:t>בשאלת</w:t>
      </w:r>
      <w:r w:rsidRPr="002537B1">
        <w:rPr>
          <w:sz w:val="20"/>
          <w:szCs w:val="20"/>
          <w:rtl/>
        </w:rPr>
        <w:t xml:space="preserve"> </w:t>
      </w:r>
      <w:r w:rsidRPr="002537B1">
        <w:rPr>
          <w:rFonts w:hint="eastAsia"/>
          <w:sz w:val="20"/>
          <w:szCs w:val="20"/>
          <w:rtl/>
        </w:rPr>
        <w:t>תוקפן</w:t>
      </w:r>
      <w:r w:rsidRPr="002537B1">
        <w:rPr>
          <w:sz w:val="20"/>
          <w:szCs w:val="20"/>
          <w:rtl/>
        </w:rPr>
        <w:t xml:space="preserve"> </w:t>
      </w:r>
      <w:r w:rsidRPr="002537B1">
        <w:rPr>
          <w:rFonts w:hint="eastAsia"/>
          <w:sz w:val="20"/>
          <w:szCs w:val="20"/>
          <w:rtl/>
        </w:rPr>
        <w:t>או</w:t>
      </w:r>
      <w:r w:rsidRPr="002537B1">
        <w:rPr>
          <w:sz w:val="20"/>
          <w:szCs w:val="20"/>
          <w:rtl/>
        </w:rPr>
        <w:t xml:space="preserve"> </w:t>
      </w:r>
      <w:r w:rsidRPr="002537B1">
        <w:rPr>
          <w:rFonts w:hint="eastAsia"/>
          <w:sz w:val="20"/>
          <w:szCs w:val="20"/>
          <w:rtl/>
        </w:rPr>
        <w:t>תנאי</w:t>
      </w:r>
      <w:r w:rsidRPr="002537B1">
        <w:rPr>
          <w:sz w:val="20"/>
          <w:szCs w:val="20"/>
          <w:rtl/>
        </w:rPr>
        <w:t xml:space="preserve"> </w:t>
      </w:r>
      <w:r w:rsidRPr="002537B1">
        <w:rPr>
          <w:rFonts w:hint="eastAsia"/>
          <w:sz w:val="20"/>
          <w:szCs w:val="20"/>
          <w:rtl/>
        </w:rPr>
        <w:t>הפעלתן</w:t>
      </w:r>
      <w:r w:rsidRPr="002537B1">
        <w:rPr>
          <w:sz w:val="20"/>
          <w:szCs w:val="20"/>
          <w:rtl/>
        </w:rPr>
        <w:t xml:space="preserve">, ראו </w:t>
      </w:r>
      <w:r w:rsidRPr="002537B1">
        <w:rPr>
          <w:rFonts w:hint="eastAsia"/>
          <w:sz w:val="20"/>
          <w:szCs w:val="20"/>
          <w:rtl/>
        </w:rPr>
        <w:t>שם</w:t>
      </w:r>
      <w:r w:rsidR="00513305">
        <w:rPr>
          <w:sz w:val="20"/>
          <w:szCs w:val="20"/>
        </w:rPr>
        <w:t>;</w:t>
      </w:r>
      <w:r w:rsidRPr="002537B1">
        <w:rPr>
          <w:sz w:val="20"/>
          <w:szCs w:val="20"/>
          <w:rtl/>
        </w:rPr>
        <w:t xml:space="preserve"> </w:t>
      </w:r>
      <w:r w:rsidRPr="002537B1">
        <w:rPr>
          <w:rFonts w:hint="eastAsia"/>
          <w:sz w:val="20"/>
          <w:szCs w:val="20"/>
          <w:rtl/>
        </w:rPr>
        <w:t>ראו</w:t>
      </w:r>
      <w:r w:rsidRPr="002537B1">
        <w:rPr>
          <w:sz w:val="20"/>
          <w:szCs w:val="20"/>
          <w:rtl/>
        </w:rPr>
        <w:t xml:space="preserve"> </w:t>
      </w:r>
      <w:r w:rsidRPr="002537B1">
        <w:rPr>
          <w:rFonts w:hint="eastAsia"/>
          <w:sz w:val="20"/>
          <w:szCs w:val="20"/>
          <w:rtl/>
        </w:rPr>
        <w:t>גם</w:t>
      </w:r>
      <w:r w:rsidRPr="002537B1">
        <w:rPr>
          <w:sz w:val="20"/>
          <w:szCs w:val="20"/>
          <w:rtl/>
        </w:rPr>
        <w:t xml:space="preserve"> </w:t>
      </w:r>
      <w:r w:rsidRPr="002537B1">
        <w:rPr>
          <w:rFonts w:eastAsiaTheme="minorHAnsi"/>
          <w:sz w:val="20"/>
          <w:szCs w:val="20"/>
        </w:rPr>
        <w:t>Harrison v. Morrow, 977 So. 2d 457, 459 (Ala. 2007)</w:t>
      </w:r>
      <w:r w:rsidRPr="002537B1">
        <w:rPr>
          <w:rFonts w:eastAsiaTheme="minorHAnsi"/>
          <w:sz w:val="20"/>
          <w:szCs w:val="20"/>
          <w:rtl/>
        </w:rPr>
        <w:t xml:space="preserve">, שם נמנע בית המשפט מלדון בתוקפה של </w:t>
      </w:r>
      <w:r w:rsidRPr="002537B1">
        <w:rPr>
          <w:rFonts w:eastAsiaTheme="minorHAnsi" w:hint="eastAsia"/>
          <w:sz w:val="20"/>
          <w:szCs w:val="20"/>
          <w:rtl/>
        </w:rPr>
        <w:t>תניית</w:t>
      </w:r>
      <w:r w:rsidRPr="002537B1">
        <w:rPr>
          <w:rFonts w:eastAsiaTheme="minorHAnsi"/>
          <w:sz w:val="20"/>
          <w:szCs w:val="20"/>
          <w:rtl/>
        </w:rPr>
        <w:t xml:space="preserve"> סילוקין, ובחר בדרך פרשנית לפיה הפנייה לערכאות באותו מקרה לא בוצעה באופן שעשוי לעורר את </w:t>
      </w:r>
      <w:r w:rsidRPr="002537B1">
        <w:rPr>
          <w:rFonts w:eastAsiaTheme="minorHAnsi" w:hint="eastAsia"/>
          <w:sz w:val="20"/>
          <w:szCs w:val="20"/>
          <w:rtl/>
        </w:rPr>
        <w:t>התנייה</w:t>
      </w:r>
      <w:r w:rsidRPr="002537B1">
        <w:rPr>
          <w:rFonts w:eastAsiaTheme="minorHAnsi"/>
          <w:sz w:val="20"/>
          <w:szCs w:val="20"/>
          <w:rtl/>
        </w:rPr>
        <w:t xml:space="preserve">: </w:t>
      </w:r>
      <w:r w:rsidRPr="002537B1">
        <w:rPr>
          <w:rFonts w:eastAsiaTheme="minorHAnsi" w:cs="Times New Roman"/>
          <w:sz w:val="20"/>
          <w:szCs w:val="20"/>
        </w:rPr>
        <w:t>"</w:t>
      </w:r>
      <w:r w:rsidRPr="002537B1">
        <w:rPr>
          <w:rFonts w:cs="Times New Roman"/>
          <w:sz w:val="20"/>
          <w:szCs w:val="20"/>
          <w:shd w:val="clear" w:color="auto" w:fill="FFFFFF"/>
        </w:rPr>
        <w:t>We need not determine whether</w:t>
      </w:r>
      <w:r w:rsidRPr="002537B1">
        <w:rPr>
          <w:rStyle w:val="apple-converted-space"/>
          <w:rFonts w:cs="Times New Roman"/>
          <w:sz w:val="20"/>
          <w:szCs w:val="20"/>
          <w:shd w:val="clear" w:color="auto" w:fill="FFFFFF"/>
        </w:rPr>
        <w:t> </w:t>
      </w:r>
      <w:r w:rsidRPr="002537B1">
        <w:rPr>
          <w:rFonts w:cs="Times New Roman"/>
          <w:i/>
          <w:iCs/>
          <w:sz w:val="20"/>
          <w:szCs w:val="20"/>
          <w:shd w:val="clear" w:color="auto" w:fill="FFFFFF"/>
        </w:rPr>
        <w:t>in terrorem</w:t>
      </w:r>
      <w:r w:rsidRPr="002537B1">
        <w:rPr>
          <w:rStyle w:val="apple-converted-space"/>
          <w:rFonts w:cs="Times New Roman"/>
          <w:sz w:val="20"/>
          <w:szCs w:val="20"/>
          <w:shd w:val="clear" w:color="auto" w:fill="FFFFFF"/>
        </w:rPr>
        <w:t> </w:t>
      </w:r>
      <w:r w:rsidRPr="002537B1">
        <w:rPr>
          <w:rFonts w:cs="Times New Roman"/>
          <w:sz w:val="20"/>
          <w:szCs w:val="20"/>
          <w:shd w:val="clear" w:color="auto" w:fill="FFFFFF"/>
        </w:rPr>
        <w:t>clauses are unenforceable in Alabama when their enforceability is specifically challenged, because we conclude that the will contest did not fall within the proscriptions of the</w:t>
      </w:r>
      <w:r w:rsidRPr="002537B1">
        <w:rPr>
          <w:rStyle w:val="apple-converted-space"/>
          <w:rFonts w:cs="Times New Roman"/>
          <w:sz w:val="20"/>
          <w:szCs w:val="20"/>
          <w:shd w:val="clear" w:color="auto" w:fill="FFFFFF"/>
        </w:rPr>
        <w:t> </w:t>
      </w:r>
      <w:r w:rsidRPr="002537B1">
        <w:rPr>
          <w:rFonts w:cs="Times New Roman"/>
          <w:i/>
          <w:iCs/>
          <w:sz w:val="20"/>
          <w:szCs w:val="20"/>
          <w:shd w:val="clear" w:color="auto" w:fill="FFFFFF"/>
        </w:rPr>
        <w:t>in terrorem</w:t>
      </w:r>
      <w:r w:rsidRPr="002537B1">
        <w:rPr>
          <w:rStyle w:val="apple-converted-space"/>
          <w:rFonts w:cs="Times New Roman"/>
          <w:sz w:val="20"/>
          <w:szCs w:val="20"/>
          <w:shd w:val="clear" w:color="auto" w:fill="FFFFFF"/>
        </w:rPr>
        <w:t> </w:t>
      </w:r>
      <w:r w:rsidRPr="002537B1">
        <w:rPr>
          <w:rFonts w:cs="Times New Roman"/>
          <w:sz w:val="20"/>
          <w:szCs w:val="20"/>
          <w:shd w:val="clear" w:color="auto" w:fill="FFFFFF"/>
        </w:rPr>
        <w:t>provision in this case"</w:t>
      </w:r>
      <w:r w:rsidRPr="002537B1">
        <w:rPr>
          <w:rFonts w:ascii="Helvetica" w:hAnsi="Helvetica" w:cs="Helvetica"/>
          <w:color w:val="333333"/>
          <w:sz w:val="20"/>
          <w:szCs w:val="20"/>
          <w:shd w:val="clear" w:color="auto" w:fill="FFFFFF"/>
          <w:rtl/>
        </w:rPr>
        <w:t>.</w:t>
      </w:r>
      <w:r w:rsidRPr="002537B1">
        <w:rPr>
          <w:rFonts w:eastAsiaTheme="minorHAnsi"/>
          <w:sz w:val="20"/>
          <w:szCs w:val="20"/>
          <w:rtl/>
        </w:rPr>
        <w:t xml:space="preserve"> בית המשפט הפנה בעניין זה לשני פסקי דין נוספים, משנת 2002 ומשנת 1881, שגם בהם לא נדונה לגופו של עניין שאלת הפעלתן של תניות סילוקין. </w:t>
      </w:r>
      <w:r w:rsidRPr="002537B1">
        <w:rPr>
          <w:rFonts w:eastAsiaTheme="minorHAnsi" w:hint="eastAsia"/>
          <w:sz w:val="20"/>
          <w:szCs w:val="20"/>
          <w:rtl/>
        </w:rPr>
        <w:t>מדינה</w:t>
      </w:r>
      <w:r w:rsidRPr="002537B1">
        <w:rPr>
          <w:rFonts w:eastAsiaTheme="minorHAnsi"/>
          <w:sz w:val="20"/>
          <w:szCs w:val="20"/>
          <w:rtl/>
        </w:rPr>
        <w:t xml:space="preserve"> נוספת שבה טרם הוסדר הנושא בחקיקה וגם בתי המשפט טרם דנו בשאלת תוקפן או תנאי הפעלתן של תניות סילוקין היא ורמונט. </w:t>
      </w:r>
      <w:r w:rsidRPr="002537B1">
        <w:rPr>
          <w:rFonts w:ascii="David" w:eastAsia="Calibri" w:hAnsi="David"/>
          <w:sz w:val="20"/>
          <w:szCs w:val="20"/>
          <w:rtl/>
        </w:rPr>
        <w:t>לס</w:t>
      </w:r>
      <w:r w:rsidRPr="002537B1">
        <w:rPr>
          <w:rFonts w:ascii="David" w:eastAsia="Calibri" w:hAnsi="David" w:hint="eastAsia"/>
          <w:sz w:val="20"/>
          <w:szCs w:val="20"/>
          <w:rtl/>
        </w:rPr>
        <w:t>י</w:t>
      </w:r>
      <w:r w:rsidRPr="002537B1">
        <w:rPr>
          <w:rFonts w:ascii="David" w:eastAsia="Calibri" w:hAnsi="David"/>
          <w:sz w:val="20"/>
          <w:szCs w:val="20"/>
          <w:rtl/>
        </w:rPr>
        <w:t>ק</w:t>
      </w:r>
      <w:r w:rsidRPr="002537B1">
        <w:rPr>
          <w:rFonts w:ascii="David" w:eastAsia="Calibri" w:hAnsi="David" w:hint="eastAsia"/>
          <w:sz w:val="20"/>
          <w:szCs w:val="20"/>
          <w:rtl/>
        </w:rPr>
        <w:t>ו</w:t>
      </w:r>
      <w:r w:rsidRPr="002537B1">
        <w:rPr>
          <w:rFonts w:ascii="David" w:eastAsia="Calibri" w:hAnsi="David"/>
          <w:sz w:val="20"/>
          <w:szCs w:val="20"/>
          <w:rtl/>
        </w:rPr>
        <w:t>ר נרחב</w:t>
      </w:r>
      <w:r>
        <w:rPr>
          <w:rFonts w:ascii="David" w:eastAsia="Calibri" w:hAnsi="David" w:hint="cs"/>
          <w:sz w:val="20"/>
          <w:szCs w:val="20"/>
          <w:rtl/>
        </w:rPr>
        <w:t>,</w:t>
      </w:r>
      <w:r w:rsidRPr="002537B1">
        <w:rPr>
          <w:rFonts w:ascii="David" w:eastAsia="Calibri" w:hAnsi="David"/>
          <w:sz w:val="20"/>
          <w:szCs w:val="20"/>
          <w:rtl/>
        </w:rPr>
        <w:t xml:space="preserve"> המציג את המצב הנוהג ב-50 מדינות, בכל הנוגע לתוקפן של תניות סילוקין ולתנאי הפעלתן כפי שנקבעו בחקיקה או בפסיקה ראו:</w:t>
      </w:r>
      <w:r w:rsidRPr="002537B1">
        <w:rPr>
          <w:rFonts w:asciiTheme="majorBidi" w:eastAsia="Calibri" w:hAnsiTheme="majorBidi" w:cstheme="majorBidi"/>
          <w:sz w:val="20"/>
          <w:szCs w:val="20"/>
          <w:rtl/>
        </w:rPr>
        <w:t xml:space="preserve"> </w:t>
      </w:r>
      <w:r w:rsidRPr="002537B1">
        <w:rPr>
          <w:rFonts w:asciiTheme="majorBidi" w:eastAsia="Calibri" w:hAnsiTheme="majorBidi" w:cstheme="majorBidi"/>
          <w:sz w:val="20"/>
          <w:szCs w:val="20"/>
          <w:shd w:val="clear" w:color="auto" w:fill="FFFFFF"/>
        </w:rPr>
        <w:t xml:space="preserve">Jack Challis &amp; Howard M. Zaritsky, </w:t>
      </w:r>
      <w:r w:rsidRPr="002537B1">
        <w:rPr>
          <w:rFonts w:asciiTheme="majorBidi" w:eastAsia="Calibri" w:hAnsiTheme="majorBidi" w:cstheme="majorBidi"/>
          <w:i/>
          <w:iCs/>
          <w:sz w:val="20"/>
          <w:szCs w:val="20"/>
          <w:shd w:val="clear" w:color="auto" w:fill="FFFFFF"/>
        </w:rPr>
        <w:t>State Laws: No-Contest Clauses</w:t>
      </w:r>
      <w:r w:rsidRPr="002537B1">
        <w:rPr>
          <w:rFonts w:asciiTheme="majorBidi" w:eastAsia="Calibri" w:hAnsiTheme="majorBidi" w:cstheme="majorBidi"/>
          <w:sz w:val="20"/>
          <w:szCs w:val="20"/>
          <w:shd w:val="clear" w:color="auto" w:fill="FFFFFF"/>
        </w:rPr>
        <w:t xml:space="preserve">, </w:t>
      </w:r>
      <w:r w:rsidRPr="002537B1">
        <w:rPr>
          <w:rFonts w:asciiTheme="majorBidi" w:eastAsia="Calibri" w:hAnsiTheme="majorBidi" w:cstheme="majorBidi"/>
          <w:smallCaps/>
          <w:sz w:val="20"/>
          <w:szCs w:val="20"/>
          <w:shd w:val="clear" w:color="auto" w:fill="FFFFFF"/>
        </w:rPr>
        <w:t>The American College of Trust and Estate Counsel</w:t>
      </w:r>
      <w:r w:rsidRPr="002537B1">
        <w:rPr>
          <w:rFonts w:asciiTheme="majorBidi" w:eastAsia="Calibri" w:hAnsiTheme="majorBidi" w:cstheme="majorBidi"/>
          <w:sz w:val="20"/>
          <w:szCs w:val="20"/>
          <w:shd w:val="clear" w:color="auto" w:fill="FFFFFF"/>
        </w:rPr>
        <w:t xml:space="preserve"> (2012)</w:t>
      </w:r>
      <w:r w:rsidRPr="002537B1">
        <w:rPr>
          <w:rFonts w:asciiTheme="majorBidi" w:eastAsia="Calibri" w:hAnsiTheme="majorBidi" w:cstheme="majorBidi"/>
          <w:sz w:val="20"/>
          <w:szCs w:val="20"/>
          <w:shd w:val="clear" w:color="auto" w:fill="FFFFFF"/>
          <w:rtl/>
        </w:rPr>
        <w:t xml:space="preserve"> </w:t>
      </w:r>
      <w:r w:rsidRPr="002537B1">
        <w:rPr>
          <w:rFonts w:asciiTheme="majorBidi" w:eastAsia="Calibri" w:hAnsiTheme="majorBidi"/>
          <w:sz w:val="20"/>
          <w:szCs w:val="20"/>
          <w:shd w:val="clear" w:color="auto" w:fill="FFFFFF"/>
          <w:rtl/>
        </w:rPr>
        <w:t xml:space="preserve">זמין ב- </w:t>
      </w:r>
      <w:r w:rsidRPr="002537B1">
        <w:rPr>
          <w:rFonts w:asciiTheme="majorBidi" w:eastAsia="Calibri" w:hAnsiTheme="majorBidi"/>
          <w:sz w:val="20"/>
          <w:szCs w:val="20"/>
          <w:shd w:val="clear" w:color="auto" w:fill="FFFFFF"/>
        </w:rPr>
        <w:t>www.actec.org/assets/1/6/State_Laws_No_Contest_Clauses_-_Chart.pdf</w:t>
      </w:r>
      <w:r w:rsidRPr="002537B1">
        <w:rPr>
          <w:rFonts w:asciiTheme="majorBidi" w:eastAsia="Calibri" w:hAnsiTheme="majorBidi"/>
          <w:sz w:val="20"/>
          <w:szCs w:val="20"/>
          <w:shd w:val="clear" w:color="auto" w:fill="FFFFFF"/>
          <w:rtl/>
        </w:rPr>
        <w:t>.</w:t>
      </w:r>
    </w:p>
  </w:footnote>
  <w:footnote w:id="20">
    <w:p w14:paraId="25A87A43" w14:textId="2DEBCA43" w:rsidR="00063AE7" w:rsidRPr="00E75D83" w:rsidRDefault="00063AE7" w:rsidP="00233F7E">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במדינת</w:t>
      </w:r>
      <w:r w:rsidRPr="00E75D83">
        <w:rPr>
          <w:sz w:val="20"/>
          <w:rtl/>
        </w:rPr>
        <w:t xml:space="preserve"> </w:t>
      </w:r>
      <w:r w:rsidRPr="00E75D83">
        <w:rPr>
          <w:rFonts w:hint="eastAsia"/>
          <w:sz w:val="20"/>
          <w:rtl/>
        </w:rPr>
        <w:t>פלורידה</w:t>
      </w:r>
      <w:r w:rsidRPr="00E75D83">
        <w:rPr>
          <w:sz w:val="20"/>
          <w:rtl/>
        </w:rPr>
        <w:t xml:space="preserve"> </w:t>
      </w:r>
      <w:r w:rsidRPr="00E75D83">
        <w:rPr>
          <w:rFonts w:hint="eastAsia"/>
          <w:sz w:val="20"/>
          <w:rtl/>
        </w:rPr>
        <w:t>נקבע</w:t>
      </w:r>
      <w:r w:rsidRPr="00E75D83">
        <w:rPr>
          <w:sz w:val="20"/>
          <w:rtl/>
        </w:rPr>
        <w:t xml:space="preserve"> </w:t>
      </w:r>
      <w:r w:rsidRPr="00E75D83">
        <w:rPr>
          <w:rFonts w:hint="eastAsia"/>
          <w:sz w:val="20"/>
          <w:rtl/>
        </w:rPr>
        <w:t>ב</w:t>
      </w:r>
      <w:r w:rsidRPr="00E75D83">
        <w:rPr>
          <w:sz w:val="20"/>
          <w:rtl/>
        </w:rPr>
        <w:t>-</w:t>
      </w:r>
      <w:r>
        <w:rPr>
          <w:rFonts w:hint="cs"/>
          <w:sz w:val="20"/>
          <w:rtl/>
        </w:rPr>
        <w:t xml:space="preserve"> </w:t>
      </w:r>
      <w:r w:rsidRPr="00E75D83">
        <w:rPr>
          <w:rFonts w:eastAsiaTheme="minorHAnsi"/>
          <w:sz w:val="20"/>
        </w:rPr>
        <w:t>FLA. STAT. ANN. § 732.517 (West 2014)</w:t>
      </w:r>
      <w:r w:rsidRPr="00E75D83">
        <w:rPr>
          <w:rFonts w:eastAsiaTheme="minorHAnsi"/>
          <w:sz w:val="20"/>
          <w:rtl/>
        </w:rPr>
        <w:t xml:space="preserve">, </w:t>
      </w:r>
      <w:r w:rsidRPr="00E75D83">
        <w:rPr>
          <w:rFonts w:eastAsiaTheme="minorHAnsi" w:hint="eastAsia"/>
          <w:sz w:val="20"/>
          <w:rtl/>
        </w:rPr>
        <w:t>כי</w:t>
      </w:r>
      <w:r w:rsidRPr="00E75D83">
        <w:rPr>
          <w:rFonts w:eastAsiaTheme="minorHAnsi"/>
          <w:sz w:val="20"/>
          <w:rtl/>
        </w:rPr>
        <w:t>:</w:t>
      </w:r>
      <w:r w:rsidRPr="00E75D83">
        <w:rPr>
          <w:sz w:val="20"/>
          <w:shd w:val="clear" w:color="auto" w:fill="FFFFFF"/>
        </w:rPr>
        <w:t>"A provision in a will purporting to penalize any interested person for contesting the will or instituting other proceedings relating to the estate is unenforceable</w:t>
      </w:r>
      <w:r>
        <w:rPr>
          <w:sz w:val="20"/>
          <w:shd w:val="clear" w:color="auto" w:fill="FFFFFF"/>
        </w:rPr>
        <w:t>"</w:t>
      </w:r>
      <w:r w:rsidRPr="00E75D83">
        <w:rPr>
          <w:sz w:val="20"/>
          <w:rtl/>
        </w:rPr>
        <w:t>.</w:t>
      </w:r>
    </w:p>
  </w:footnote>
  <w:footnote w:id="21">
    <w:p w14:paraId="4B672B50" w14:textId="77777777" w:rsidR="00063AE7" w:rsidRPr="00E75D83" w:rsidRDefault="00063AE7" w:rsidP="009C21E4">
      <w:pPr>
        <w:pStyle w:val="a4"/>
        <w:jc w:val="both"/>
        <w:rPr>
          <w:sz w:val="20"/>
          <w:rtl/>
        </w:rPr>
      </w:pPr>
      <w:r w:rsidRPr="00E75D83">
        <w:rPr>
          <w:rStyle w:val="a3"/>
          <w:sz w:val="20"/>
        </w:rPr>
        <w:footnoteRef/>
      </w:r>
      <w:r w:rsidRPr="00E75D83">
        <w:rPr>
          <w:sz w:val="20"/>
          <w:rtl/>
        </w:rPr>
        <w:t xml:space="preserve"> </w:t>
      </w:r>
      <w:r w:rsidRPr="00E75D83">
        <w:rPr>
          <w:rFonts w:hint="eastAsia"/>
          <w:sz w:val="20"/>
          <w:shd w:val="clear" w:color="auto" w:fill="FFFFFF"/>
          <w:rtl/>
        </w:rPr>
        <w:t>במדינת</w:t>
      </w:r>
      <w:r w:rsidRPr="00E75D83">
        <w:rPr>
          <w:sz w:val="20"/>
          <w:shd w:val="clear" w:color="auto" w:fill="FFFFFF"/>
          <w:rtl/>
        </w:rPr>
        <w:t xml:space="preserve"> </w:t>
      </w:r>
      <w:r w:rsidRPr="00E75D83">
        <w:rPr>
          <w:rFonts w:hint="eastAsia"/>
          <w:sz w:val="20"/>
          <w:shd w:val="clear" w:color="auto" w:fill="FFFFFF"/>
          <w:rtl/>
        </w:rPr>
        <w:t>אינדיאנה</w:t>
      </w:r>
      <w:r w:rsidRPr="00E75D83">
        <w:rPr>
          <w:sz w:val="20"/>
          <w:rtl/>
        </w:rPr>
        <w:t xml:space="preserve"> נקבעה הוראה דומה לזו הקיימת במדינת פלורידה. ראו:</w:t>
      </w:r>
      <w:r w:rsidRPr="00E75D83">
        <w:rPr>
          <w:sz w:val="20"/>
        </w:rPr>
        <w:t xml:space="preserve"> IND. CODE ANN. § 29-1-6-2 (West 2014)</w:t>
      </w:r>
      <w:r w:rsidRPr="00E75D83">
        <w:rPr>
          <w:sz w:val="20"/>
          <w:shd w:val="clear" w:color="auto" w:fill="FFFFFF"/>
          <w:rtl/>
        </w:rPr>
        <w:t>.</w:t>
      </w:r>
    </w:p>
  </w:footnote>
  <w:footnote w:id="22">
    <w:p w14:paraId="4FF58722"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eastAsiaTheme="minorHAnsi"/>
          <w:sz w:val="20"/>
        </w:rPr>
        <w:t>GA. CODE ANN. § 53-4-68 (West 1996)</w:t>
      </w:r>
      <w:r w:rsidRPr="00E75D83">
        <w:rPr>
          <w:rFonts w:eastAsiaTheme="minorHAnsi"/>
          <w:sz w:val="20"/>
          <w:rtl/>
        </w:rPr>
        <w:t>.</w:t>
      </w:r>
    </w:p>
  </w:footnote>
  <w:footnote w:id="23">
    <w:p w14:paraId="194E12D9" w14:textId="38B02025" w:rsidR="00063AE7" w:rsidRPr="00E75D83" w:rsidRDefault="00063AE7" w:rsidP="00233F7E">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אחת</w:t>
      </w:r>
      <w:r w:rsidRPr="00E75D83">
        <w:rPr>
          <w:sz w:val="20"/>
          <w:rtl/>
        </w:rPr>
        <w:t xml:space="preserve"> עשר</w:t>
      </w:r>
      <w:r w:rsidRPr="00E75D83">
        <w:rPr>
          <w:rFonts w:hint="eastAsia"/>
          <w:sz w:val="20"/>
          <w:rtl/>
        </w:rPr>
        <w:t>ה</w:t>
      </w:r>
      <w:r w:rsidRPr="00E75D83">
        <w:rPr>
          <w:sz w:val="20"/>
          <w:rtl/>
        </w:rPr>
        <w:t xml:space="preserve"> המדינות הן: קולומביה, קנטקי, לואיזיאנה, מיזורי, ניו-המפשיר, ניו-יורק, אוהיו, רוד איילנד, וירג'יניה, וויומינג, וכן בוושינגטון.</w:t>
      </w:r>
    </w:p>
  </w:footnote>
  <w:footnote w:id="24">
    <w:p w14:paraId="6335CD18" w14:textId="11485F94" w:rsidR="00063AE7" w:rsidRPr="00E75D83" w:rsidRDefault="00063AE7" w:rsidP="00233F7E">
      <w:pPr>
        <w:pStyle w:val="a4"/>
        <w:jc w:val="both"/>
        <w:rPr>
          <w:sz w:val="20"/>
          <w:rtl/>
        </w:rPr>
      </w:pPr>
      <w:r w:rsidRPr="00E75D83">
        <w:rPr>
          <w:rStyle w:val="a3"/>
          <w:sz w:val="20"/>
        </w:rPr>
        <w:footnoteRef/>
      </w:r>
      <w:r w:rsidRPr="00E75D83">
        <w:rPr>
          <w:sz w:val="20"/>
          <w:rtl/>
        </w:rPr>
        <w:t xml:space="preserve"> </w:t>
      </w:r>
      <w:r w:rsidRPr="00E75D83">
        <w:rPr>
          <w:sz w:val="20"/>
        </w:rPr>
        <w:t>Gordon</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sidRPr="0070551B">
        <w:rPr>
          <w:sz w:val="20"/>
          <w:rtl/>
        </w:rPr>
        <w:fldChar w:fldCharType="begin"/>
      </w:r>
      <w:r w:rsidRPr="00E75D83">
        <w:rPr>
          <w:sz w:val="20"/>
          <w:rtl/>
        </w:rPr>
        <w:instrText xml:space="preserve"> </w:instrText>
      </w:r>
      <w:r w:rsidRPr="00E75D83">
        <w:rPr>
          <w:sz w:val="20"/>
        </w:rPr>
        <w:instrText>NOTEREF</w:instrText>
      </w:r>
      <w:r w:rsidRPr="00E75D83">
        <w:rPr>
          <w:sz w:val="20"/>
          <w:rtl/>
        </w:rPr>
        <w:instrText xml:space="preserve"> _</w:instrText>
      </w:r>
      <w:r w:rsidRPr="00E75D83">
        <w:rPr>
          <w:sz w:val="20"/>
        </w:rPr>
        <w:instrText>Ref497718196 \h</w:instrText>
      </w:r>
      <w:r w:rsidRPr="00E75D83">
        <w:rPr>
          <w:sz w:val="20"/>
          <w:rtl/>
        </w:rPr>
        <w:instrText xml:space="preserve"> </w:instrText>
      </w:r>
      <w:r>
        <w:rPr>
          <w:sz w:val="20"/>
          <w:rtl/>
        </w:rPr>
        <w:instrText xml:space="preserve"> \* </w:instrText>
      </w:r>
      <w:r>
        <w:rPr>
          <w:sz w:val="20"/>
        </w:rPr>
        <w:instrText>MERGEFORMAT</w:instrText>
      </w:r>
      <w:r>
        <w:rPr>
          <w:sz w:val="20"/>
          <w:rtl/>
        </w:rPr>
        <w:instrText xml:space="preserve"> </w:instrText>
      </w:r>
      <w:r w:rsidRPr="0070551B">
        <w:rPr>
          <w:sz w:val="20"/>
          <w:rtl/>
        </w:rPr>
      </w:r>
      <w:r w:rsidRPr="0070551B">
        <w:rPr>
          <w:sz w:val="20"/>
          <w:rtl/>
        </w:rPr>
        <w:fldChar w:fldCharType="separate"/>
      </w:r>
      <w:r>
        <w:rPr>
          <w:sz w:val="20"/>
          <w:rtl/>
        </w:rPr>
        <w:t>18</w:t>
      </w:r>
      <w:r w:rsidRPr="0070551B">
        <w:rPr>
          <w:sz w:val="20"/>
          <w:rtl/>
        </w:rPr>
        <w:fldChar w:fldCharType="end"/>
      </w:r>
      <w:r w:rsidRPr="00E75D83">
        <w:rPr>
          <w:sz w:val="20"/>
          <w:rtl/>
        </w:rPr>
        <w:t xml:space="preserve">, </w:t>
      </w:r>
      <w:r w:rsidRPr="00E75D83">
        <w:rPr>
          <w:rFonts w:hint="eastAsia"/>
          <w:sz w:val="20"/>
          <w:rtl/>
        </w:rPr>
        <w:t>בעמ</w:t>
      </w:r>
      <w:r w:rsidRPr="00E75D83">
        <w:rPr>
          <w:sz w:val="20"/>
          <w:rtl/>
        </w:rPr>
        <w:t xml:space="preserve">' 469, </w:t>
      </w:r>
      <w:r w:rsidRPr="00E75D83">
        <w:rPr>
          <w:rFonts w:hint="eastAsia"/>
          <w:sz w:val="20"/>
          <w:rtl/>
        </w:rPr>
        <w:t>מסבירה</w:t>
      </w:r>
      <w:r w:rsidRPr="00E75D83">
        <w:rPr>
          <w:sz w:val="20"/>
          <w:rtl/>
        </w:rPr>
        <w:t xml:space="preserve"> </w:t>
      </w:r>
      <w:r w:rsidRPr="00E75D83">
        <w:rPr>
          <w:rFonts w:hint="eastAsia"/>
          <w:sz w:val="20"/>
          <w:rtl/>
        </w:rPr>
        <w:t>כי</w:t>
      </w:r>
      <w:r w:rsidRPr="00E75D83">
        <w:rPr>
          <w:sz w:val="20"/>
          <w:rtl/>
        </w:rPr>
        <w:t xml:space="preserve"> </w:t>
      </w:r>
      <w:r w:rsidRPr="00E75D83">
        <w:rPr>
          <w:rFonts w:hint="eastAsia"/>
          <w:sz w:val="20"/>
          <w:rtl/>
        </w:rPr>
        <w:t>במדינות</w:t>
      </w:r>
      <w:r w:rsidRPr="00E75D83">
        <w:rPr>
          <w:sz w:val="20"/>
          <w:rtl/>
        </w:rPr>
        <w:t xml:space="preserve"> </w:t>
      </w:r>
      <w:r w:rsidRPr="00E75D83">
        <w:rPr>
          <w:rFonts w:hint="eastAsia"/>
          <w:sz w:val="20"/>
          <w:rtl/>
        </w:rPr>
        <w:t>אלה</w:t>
      </w:r>
      <w:r w:rsidRPr="00E75D83">
        <w:rPr>
          <w:sz w:val="20"/>
          <w:rtl/>
        </w:rPr>
        <w:t xml:space="preserve"> בתי המשפט </w:t>
      </w:r>
      <w:r>
        <w:rPr>
          <w:rFonts w:hint="cs"/>
          <w:sz w:val="20"/>
          <w:rtl/>
        </w:rPr>
        <w:t>אינם</w:t>
      </w:r>
      <w:r w:rsidRPr="00E75D83">
        <w:rPr>
          <w:sz w:val="20"/>
          <w:rtl/>
        </w:rPr>
        <w:t xml:space="preserve"> בוחנים את הבסיס העובדתי שהוביל את היורש לתקוף את הצוואה. </w:t>
      </w:r>
      <w:r w:rsidRPr="00E75D83">
        <w:rPr>
          <w:rFonts w:hint="eastAsia"/>
          <w:sz w:val="20"/>
          <w:rtl/>
        </w:rPr>
        <w:t>ככל</w:t>
      </w:r>
      <w:r w:rsidRPr="00E75D83">
        <w:rPr>
          <w:sz w:val="20"/>
          <w:rtl/>
        </w:rPr>
        <w:t xml:space="preserve"> שהתקיפה תידחה, יאבד היורש את חלקו, אך במקרה שהתקיפה תצלח והצוואה כולה תאבד את תוקפה,</w:t>
      </w:r>
      <w:r>
        <w:rPr>
          <w:rFonts w:hint="cs"/>
          <w:sz w:val="20"/>
          <w:rtl/>
        </w:rPr>
        <w:t xml:space="preserve"> </w:t>
      </w:r>
      <w:r w:rsidRPr="00E75D83">
        <w:rPr>
          <w:sz w:val="20"/>
          <w:rtl/>
        </w:rPr>
        <w:t xml:space="preserve">תתבטל גם </w:t>
      </w:r>
      <w:r w:rsidRPr="00E75D83">
        <w:rPr>
          <w:rFonts w:hint="eastAsia"/>
          <w:sz w:val="20"/>
          <w:rtl/>
        </w:rPr>
        <w:t>תניית</w:t>
      </w:r>
      <w:r w:rsidRPr="00E75D83">
        <w:rPr>
          <w:sz w:val="20"/>
          <w:rtl/>
        </w:rPr>
        <w:t xml:space="preserve"> הסילוקין עמה. הסדר זה גורם לכך שהיורשים המבקשים לתקוף את הצוואה ישקלו בכובד ראש אם לעשות כן ולהסתכן באיבוד חלקם. השפעה זו אינה כה יעילה כאמצעי הרתעה כאשר היורש </w:t>
      </w:r>
      <w:r>
        <w:rPr>
          <w:rFonts w:hint="cs"/>
          <w:sz w:val="20"/>
          <w:rtl/>
        </w:rPr>
        <w:t>ה</w:t>
      </w:r>
      <w:r w:rsidRPr="00E75D83">
        <w:rPr>
          <w:sz w:val="20"/>
          <w:rtl/>
        </w:rPr>
        <w:t xml:space="preserve">מבקש לתקוף את הצוואה הוא יורש אשר חלקו בצוואה ממילא זניח או שהודר ממנה לגמרי. </w:t>
      </w:r>
    </w:p>
  </w:footnote>
  <w:footnote w:id="25">
    <w:p w14:paraId="220A0FC0" w14:textId="77777777" w:rsidR="00063AE7" w:rsidRPr="00E75D83" w:rsidRDefault="00063AE7" w:rsidP="003C0B63">
      <w:pPr>
        <w:pStyle w:val="a4"/>
        <w:jc w:val="both"/>
        <w:rPr>
          <w:smallCaps/>
          <w:sz w:val="20"/>
          <w:rtl/>
        </w:rPr>
      </w:pPr>
      <w:r w:rsidRPr="00E75D83">
        <w:rPr>
          <w:rStyle w:val="a3"/>
          <w:sz w:val="20"/>
        </w:rPr>
        <w:footnoteRef/>
      </w:r>
      <w:r w:rsidRPr="00E75D83">
        <w:rPr>
          <w:sz w:val="20"/>
          <w:rtl/>
        </w:rPr>
        <w:t xml:space="preserve"> </w:t>
      </w:r>
      <w:r w:rsidRPr="00E75D83">
        <w:rPr>
          <w:sz w:val="20"/>
        </w:rPr>
        <w:t xml:space="preserve">Dawn Koren, </w:t>
      </w:r>
      <w:r w:rsidRPr="00E75D83">
        <w:rPr>
          <w:i/>
          <w:iCs/>
          <w:sz w:val="20"/>
        </w:rPr>
        <w:t>No-Contest Clauses: Settlement Offers from the Grave</w:t>
      </w:r>
      <w:r w:rsidRPr="00E75D83">
        <w:rPr>
          <w:sz w:val="20"/>
        </w:rPr>
        <w:t xml:space="preserve">, 12 </w:t>
      </w:r>
      <w:r w:rsidRPr="00E75D83">
        <w:rPr>
          <w:smallCaps/>
          <w:sz w:val="20"/>
        </w:rPr>
        <w:t xml:space="preserve">Prob. L.J. 173, 177 (1995); </w:t>
      </w:r>
      <w:r w:rsidRPr="00E75D83">
        <w:rPr>
          <w:sz w:val="20"/>
        </w:rPr>
        <w:t xml:space="preserve">Garry W. Beyer et al, </w:t>
      </w:r>
      <w:r w:rsidRPr="00E75D83">
        <w:rPr>
          <w:i/>
          <w:iCs/>
          <w:sz w:val="20"/>
        </w:rPr>
        <w:t>Fine Art of Intimidating Disgruntled Beneficiaries with In Terrorem Clauses</w:t>
      </w:r>
      <w:r w:rsidRPr="00E75D83">
        <w:rPr>
          <w:sz w:val="20"/>
        </w:rPr>
        <w:t xml:space="preserve">, 51 </w:t>
      </w:r>
      <w:r w:rsidRPr="00E75D83">
        <w:rPr>
          <w:smallCaps/>
          <w:sz w:val="20"/>
        </w:rPr>
        <w:t>smu L. Rev. 225, 247 (1998)</w:t>
      </w:r>
      <w:r w:rsidRPr="00E75D83">
        <w:rPr>
          <w:smallCaps/>
          <w:sz w:val="20"/>
          <w:rtl/>
        </w:rPr>
        <w:t>.</w:t>
      </w:r>
      <w:r w:rsidRPr="00E75D83">
        <w:rPr>
          <w:smallCaps/>
          <w:sz w:val="20"/>
        </w:rPr>
        <w:t xml:space="preserve"> </w:t>
      </w:r>
    </w:p>
  </w:footnote>
  <w:footnote w:id="26">
    <w:p w14:paraId="770B0027" w14:textId="7DB8ECF3" w:rsidR="00063AE7" w:rsidRPr="00E75D83" w:rsidRDefault="00063AE7" w:rsidP="00233F7E">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כך</w:t>
      </w:r>
      <w:r>
        <w:rPr>
          <w:rFonts w:hint="cs"/>
          <w:sz w:val="20"/>
          <w:rtl/>
        </w:rPr>
        <w:t>,</w:t>
      </w:r>
      <w:r w:rsidRPr="00E75D83">
        <w:rPr>
          <w:sz w:val="20"/>
          <w:rtl/>
        </w:rPr>
        <w:t xml:space="preserve"> </w:t>
      </w:r>
      <w:r w:rsidRPr="00E75D83">
        <w:rPr>
          <w:rFonts w:hint="eastAsia"/>
          <w:sz w:val="20"/>
          <w:rtl/>
        </w:rPr>
        <w:t>לדוגמה</w:t>
      </w:r>
      <w:r>
        <w:rPr>
          <w:rFonts w:hint="cs"/>
          <w:sz w:val="20"/>
          <w:rtl/>
        </w:rPr>
        <w:t>,</w:t>
      </w:r>
      <w:r w:rsidRPr="00E75D83">
        <w:rPr>
          <w:sz w:val="20"/>
          <w:rtl/>
        </w:rPr>
        <w:t xml:space="preserve"> </w:t>
      </w:r>
      <w:r w:rsidRPr="00E75D83">
        <w:rPr>
          <w:rFonts w:hint="eastAsia"/>
          <w:sz w:val="20"/>
          <w:rtl/>
        </w:rPr>
        <w:t>קובע</w:t>
      </w:r>
      <w:r w:rsidRPr="00E75D83">
        <w:rPr>
          <w:sz w:val="20"/>
          <w:rtl/>
        </w:rPr>
        <w:t xml:space="preserve"> </w:t>
      </w:r>
      <w:r w:rsidRPr="00E75D83">
        <w:rPr>
          <w:rFonts w:hint="eastAsia"/>
          <w:sz w:val="20"/>
          <w:rtl/>
        </w:rPr>
        <w:t>החוק</w:t>
      </w:r>
      <w:r w:rsidRPr="00E75D83">
        <w:rPr>
          <w:sz w:val="20"/>
          <w:rtl/>
        </w:rPr>
        <w:t xml:space="preserve"> </w:t>
      </w:r>
      <w:r w:rsidRPr="00E75D83">
        <w:rPr>
          <w:rFonts w:hint="eastAsia"/>
          <w:sz w:val="20"/>
          <w:rtl/>
        </w:rPr>
        <w:t>במדינת</w:t>
      </w:r>
      <w:r w:rsidRPr="00E75D83">
        <w:rPr>
          <w:sz w:val="20"/>
          <w:rtl/>
        </w:rPr>
        <w:t xml:space="preserve"> </w:t>
      </w:r>
      <w:r w:rsidRPr="00E75D83">
        <w:rPr>
          <w:rFonts w:hint="eastAsia"/>
          <w:sz w:val="20"/>
          <w:rtl/>
        </w:rPr>
        <w:t>ניו</w:t>
      </w:r>
      <w:r w:rsidRPr="00E75D83">
        <w:rPr>
          <w:sz w:val="20"/>
          <w:rtl/>
        </w:rPr>
        <w:t>-מקסיקו:</w:t>
      </w:r>
      <w:r w:rsidRPr="00E75D83">
        <w:rPr>
          <w:sz w:val="20"/>
          <w:shd w:val="clear" w:color="auto" w:fill="FFFFFF"/>
        </w:rPr>
        <w:t>"A provision in a governing instrument purporting to penalize an interested person for contesting a governing instrument or instituting other proceedings relating to a governing instrument or an estate is unenforceable if probable cause exists for instituting proceedings</w:t>
      </w:r>
      <w:r>
        <w:rPr>
          <w:sz w:val="20"/>
          <w:shd w:val="clear" w:color="auto" w:fill="FFFFFF"/>
        </w:rPr>
        <w:t>"</w:t>
      </w:r>
      <w:r w:rsidRPr="00E75D83">
        <w:rPr>
          <w:sz w:val="20"/>
          <w:shd w:val="clear" w:color="auto" w:fill="FFFFFF"/>
          <w:rtl/>
        </w:rPr>
        <w:t xml:space="preserve">, ראו: </w:t>
      </w:r>
      <w:r w:rsidRPr="00E75D83">
        <w:rPr>
          <w:rFonts w:eastAsiaTheme="minorHAnsi"/>
          <w:sz w:val="20"/>
        </w:rPr>
        <w:t>N.M. STAT. ANN.</w:t>
      </w:r>
      <w:r w:rsidRPr="00E75D83">
        <w:rPr>
          <w:rFonts w:eastAsiaTheme="minorHAnsi" w:hint="eastAsia"/>
          <w:sz w:val="20"/>
        </w:rPr>
        <w:t>§</w:t>
      </w:r>
      <w:r w:rsidRPr="00E75D83">
        <w:rPr>
          <w:rFonts w:eastAsiaTheme="minorHAnsi"/>
          <w:sz w:val="20"/>
        </w:rPr>
        <w:t xml:space="preserve"> 45-2-517 (West 2014)</w:t>
      </w:r>
      <w:r w:rsidRPr="00E75D83">
        <w:rPr>
          <w:sz w:val="20"/>
          <w:shd w:val="clear" w:color="auto" w:fill="FFFFFF"/>
          <w:rtl/>
        </w:rPr>
        <w:t>;</w:t>
      </w:r>
      <w:r w:rsidRPr="00E75D83">
        <w:rPr>
          <w:sz w:val="20"/>
          <w:rtl/>
        </w:rPr>
        <w:t xml:space="preserve"> </w:t>
      </w:r>
      <w:r w:rsidRPr="00E75D83">
        <w:rPr>
          <w:rFonts w:eastAsiaTheme="minorHAnsi"/>
          <w:smallCaps/>
          <w:sz w:val="20"/>
        </w:rPr>
        <w:t>Restatement (Third) Of Prop: Wills and Other Donative Transfers § 8.5 cmt. c (Am. Law Inst. 2003)</w:t>
      </w:r>
      <w:r w:rsidRPr="00E75D83">
        <w:rPr>
          <w:sz w:val="20"/>
          <w:rtl/>
        </w:rPr>
        <w:t>.</w:t>
      </w:r>
    </w:p>
  </w:footnote>
  <w:footnote w:id="27">
    <w:p w14:paraId="7C11DC57" w14:textId="7B144BA7" w:rsidR="00063AE7" w:rsidRPr="00E75D83" w:rsidRDefault="00063AE7" w:rsidP="00B5255F">
      <w:pPr>
        <w:pStyle w:val="a4"/>
        <w:jc w:val="both"/>
        <w:rPr>
          <w:sz w:val="20"/>
          <w:rtl/>
        </w:rPr>
      </w:pPr>
      <w:r w:rsidRPr="00E75D83">
        <w:rPr>
          <w:rStyle w:val="a3"/>
          <w:sz w:val="20"/>
        </w:rPr>
        <w:footnoteRef/>
      </w:r>
      <w:r w:rsidRPr="00E75D83">
        <w:rPr>
          <w:sz w:val="20"/>
          <w:rtl/>
        </w:rPr>
        <w:t xml:space="preserve"> </w:t>
      </w:r>
      <w:r w:rsidRPr="006777B3">
        <w:rPr>
          <w:sz w:val="20"/>
        </w:rPr>
        <w:t>Gordon</w:t>
      </w:r>
      <w:r w:rsidRPr="006777B3">
        <w:rPr>
          <w:sz w:val="20"/>
          <w:rtl/>
        </w:rPr>
        <w:t xml:space="preserve">, </w:t>
      </w:r>
      <w:r w:rsidRPr="006777B3">
        <w:rPr>
          <w:rFonts w:hint="eastAsia"/>
          <w:sz w:val="20"/>
          <w:rtl/>
        </w:rPr>
        <w:t>לעיל</w:t>
      </w:r>
      <w:r w:rsidRPr="006777B3">
        <w:rPr>
          <w:sz w:val="20"/>
          <w:rtl/>
        </w:rPr>
        <w:t xml:space="preserve"> </w:t>
      </w:r>
      <w:proofErr w:type="spellStart"/>
      <w:r w:rsidRPr="006777B3">
        <w:rPr>
          <w:rFonts w:hint="eastAsia"/>
          <w:sz w:val="20"/>
          <w:rtl/>
        </w:rPr>
        <w:t>ה</w:t>
      </w:r>
      <w:r w:rsidRPr="006777B3">
        <w:rPr>
          <w:sz w:val="20"/>
          <w:rtl/>
        </w:rPr>
        <w:t>"ש</w:t>
      </w:r>
      <w:proofErr w:type="spellEnd"/>
      <w:r>
        <w:rPr>
          <w:rFonts w:hint="cs"/>
          <w:sz w:val="20"/>
          <w:rtl/>
        </w:rPr>
        <w:t xml:space="preserve"> </w:t>
      </w:r>
      <w:r w:rsidRPr="006777B3">
        <w:rPr>
          <w:sz w:val="20"/>
        </w:rPr>
        <w:fldChar w:fldCharType="begin"/>
      </w:r>
      <w:r w:rsidRPr="006777B3">
        <w:rPr>
          <w:sz w:val="20"/>
        </w:rPr>
        <w:instrText xml:space="preserve"> NOTEREF _Ref497718196 \h  \* MERGEFORMAT </w:instrText>
      </w:r>
      <w:r w:rsidRPr="006777B3">
        <w:rPr>
          <w:sz w:val="20"/>
        </w:rPr>
      </w:r>
      <w:r w:rsidRPr="006777B3">
        <w:rPr>
          <w:sz w:val="20"/>
        </w:rPr>
        <w:fldChar w:fldCharType="separate"/>
      </w:r>
      <w:r w:rsidRPr="006777B3">
        <w:rPr>
          <w:sz w:val="20"/>
        </w:rPr>
        <w:t>18</w:t>
      </w:r>
      <w:r w:rsidRPr="006777B3">
        <w:rPr>
          <w:sz w:val="20"/>
        </w:rPr>
        <w:fldChar w:fldCharType="end"/>
      </w:r>
      <w:r w:rsidRPr="006777B3">
        <w:rPr>
          <w:sz w:val="20"/>
        </w:rPr>
        <w:t xml:space="preserve"> </w:t>
      </w:r>
      <w:r w:rsidRPr="006777B3">
        <w:rPr>
          <w:sz w:val="20"/>
          <w:rtl/>
        </w:rPr>
        <w:t xml:space="preserve">, </w:t>
      </w:r>
      <w:r w:rsidRPr="006777B3">
        <w:rPr>
          <w:rFonts w:hint="eastAsia"/>
          <w:sz w:val="20"/>
          <w:rtl/>
        </w:rPr>
        <w:t>בעמ</w:t>
      </w:r>
      <w:r w:rsidRPr="006777B3">
        <w:rPr>
          <w:sz w:val="20"/>
          <w:rtl/>
        </w:rPr>
        <w:t>' 470; לדוגמה ה-</w:t>
      </w:r>
      <w:r w:rsidRPr="006777B3">
        <w:rPr>
          <w:rFonts w:eastAsiaTheme="minorHAnsi"/>
          <w:sz w:val="20"/>
        </w:rPr>
        <w:t xml:space="preserve"> National Conference of Commissioners on Uniform State Laws</w:t>
      </w:r>
      <w:r w:rsidRPr="006777B3">
        <w:rPr>
          <w:rFonts w:eastAsiaTheme="minorHAnsi"/>
          <w:sz w:val="20"/>
          <w:rtl/>
        </w:rPr>
        <w:t xml:space="preserve"> </w:t>
      </w:r>
      <w:r w:rsidRPr="006777B3">
        <w:rPr>
          <w:sz w:val="20"/>
          <w:rtl/>
        </w:rPr>
        <w:t>וה-</w:t>
      </w:r>
      <w:r w:rsidRPr="006777B3">
        <w:rPr>
          <w:rFonts w:eastAsiaTheme="minorHAnsi"/>
          <w:sz w:val="20"/>
        </w:rPr>
        <w:t>American Law Institute</w:t>
      </w:r>
      <w:r w:rsidRPr="006777B3">
        <w:rPr>
          <w:sz w:val="20"/>
          <w:rtl/>
        </w:rPr>
        <w:t xml:space="preserve">. </w:t>
      </w:r>
      <w:r w:rsidRPr="006777B3">
        <w:rPr>
          <w:rFonts w:hint="eastAsia"/>
          <w:sz w:val="20"/>
          <w:rtl/>
        </w:rPr>
        <w:t>לביקורת</w:t>
      </w:r>
      <w:r w:rsidRPr="006777B3">
        <w:rPr>
          <w:sz w:val="20"/>
          <w:rtl/>
        </w:rPr>
        <w:t xml:space="preserve"> על הבחירה במודל ההפעלה המותנית ראו </w:t>
      </w:r>
      <w:r w:rsidRPr="006777B3">
        <w:rPr>
          <w:sz w:val="20"/>
        </w:rPr>
        <w:t>Gordon</w:t>
      </w:r>
      <w:r w:rsidRPr="006777B3">
        <w:rPr>
          <w:sz w:val="20"/>
          <w:rtl/>
        </w:rPr>
        <w:t xml:space="preserve">, </w:t>
      </w:r>
      <w:r w:rsidRPr="006777B3">
        <w:rPr>
          <w:rFonts w:hint="eastAsia"/>
          <w:sz w:val="20"/>
          <w:rtl/>
        </w:rPr>
        <w:t>לעיל</w:t>
      </w:r>
      <w:r w:rsidRPr="006777B3">
        <w:rPr>
          <w:sz w:val="20"/>
          <w:rtl/>
        </w:rPr>
        <w:t xml:space="preserve"> </w:t>
      </w:r>
      <w:proofErr w:type="spellStart"/>
      <w:r w:rsidRPr="006777B3">
        <w:rPr>
          <w:sz w:val="20"/>
          <w:rtl/>
        </w:rPr>
        <w:t>ה"ש</w:t>
      </w:r>
      <w:proofErr w:type="spellEnd"/>
      <w:r w:rsidRPr="006777B3">
        <w:rPr>
          <w:sz w:val="20"/>
          <w:rtl/>
        </w:rPr>
        <w:t xml:space="preserve"> </w:t>
      </w:r>
      <w:r w:rsidRPr="006777B3">
        <w:rPr>
          <w:sz w:val="20"/>
          <w:rtl/>
        </w:rPr>
        <w:fldChar w:fldCharType="begin"/>
      </w:r>
      <w:r w:rsidRPr="006777B3">
        <w:rPr>
          <w:sz w:val="20"/>
          <w:rtl/>
        </w:rPr>
        <w:instrText xml:space="preserve"> </w:instrText>
      </w:r>
      <w:r w:rsidRPr="006777B3">
        <w:rPr>
          <w:sz w:val="20"/>
        </w:rPr>
        <w:instrText>NOTEREF</w:instrText>
      </w:r>
      <w:r w:rsidRPr="006777B3">
        <w:rPr>
          <w:sz w:val="20"/>
          <w:rtl/>
        </w:rPr>
        <w:instrText xml:space="preserve"> _</w:instrText>
      </w:r>
      <w:r w:rsidRPr="006777B3">
        <w:rPr>
          <w:sz w:val="20"/>
        </w:rPr>
        <w:instrText>Ref497718196 \h</w:instrText>
      </w:r>
      <w:r w:rsidRPr="006777B3">
        <w:rPr>
          <w:sz w:val="20"/>
          <w:rtl/>
        </w:rPr>
        <w:instrText xml:space="preserve">  \* </w:instrText>
      </w:r>
      <w:r w:rsidRPr="006777B3">
        <w:rPr>
          <w:sz w:val="20"/>
        </w:rPr>
        <w:instrText>MERGEFORMAT</w:instrText>
      </w:r>
      <w:r w:rsidRPr="006777B3">
        <w:rPr>
          <w:sz w:val="20"/>
          <w:rtl/>
        </w:rPr>
        <w:instrText xml:space="preserve"> </w:instrText>
      </w:r>
      <w:r w:rsidRPr="006777B3">
        <w:rPr>
          <w:sz w:val="20"/>
          <w:rtl/>
        </w:rPr>
      </w:r>
      <w:r w:rsidRPr="006777B3">
        <w:rPr>
          <w:sz w:val="20"/>
          <w:rtl/>
        </w:rPr>
        <w:fldChar w:fldCharType="separate"/>
      </w:r>
      <w:r w:rsidRPr="006777B3">
        <w:rPr>
          <w:sz w:val="20"/>
          <w:rtl/>
        </w:rPr>
        <w:t>18</w:t>
      </w:r>
      <w:r w:rsidRPr="006777B3">
        <w:rPr>
          <w:sz w:val="20"/>
          <w:rtl/>
        </w:rPr>
        <w:fldChar w:fldCharType="end"/>
      </w:r>
      <w:r w:rsidRPr="006777B3">
        <w:rPr>
          <w:sz w:val="20"/>
          <w:rtl/>
        </w:rPr>
        <w:t xml:space="preserve">, </w:t>
      </w:r>
      <w:r w:rsidRPr="006777B3">
        <w:rPr>
          <w:rFonts w:hint="eastAsia"/>
          <w:sz w:val="20"/>
          <w:rtl/>
        </w:rPr>
        <w:t>בעמ</w:t>
      </w:r>
      <w:r w:rsidRPr="006777B3">
        <w:rPr>
          <w:sz w:val="20"/>
          <w:rtl/>
        </w:rPr>
        <w:t xml:space="preserve">' </w:t>
      </w:r>
      <w:r w:rsidRPr="006777B3">
        <w:rPr>
          <w:sz w:val="20"/>
        </w:rPr>
        <w:t>470</w:t>
      </w:r>
      <w:r w:rsidRPr="006777B3">
        <w:rPr>
          <w:sz w:val="20"/>
          <w:rtl/>
        </w:rPr>
        <w:t xml:space="preserve">, </w:t>
      </w:r>
      <w:proofErr w:type="spellStart"/>
      <w:r w:rsidRPr="006777B3">
        <w:rPr>
          <w:rFonts w:hint="eastAsia"/>
          <w:sz w:val="20"/>
          <w:rtl/>
        </w:rPr>
        <w:t>ה</w:t>
      </w:r>
      <w:r w:rsidRPr="006777B3">
        <w:rPr>
          <w:sz w:val="20"/>
          <w:rtl/>
        </w:rPr>
        <w:t>"ש</w:t>
      </w:r>
      <w:proofErr w:type="spellEnd"/>
      <w:r w:rsidRPr="006777B3">
        <w:rPr>
          <w:sz w:val="20"/>
          <w:rtl/>
        </w:rPr>
        <w:t xml:space="preserve"> 56</w:t>
      </w:r>
      <w:r w:rsidRPr="006777B3">
        <w:rPr>
          <w:rFonts w:hint="cs"/>
          <w:sz w:val="20"/>
          <w:rtl/>
        </w:rPr>
        <w:t>.</w:t>
      </w:r>
    </w:p>
  </w:footnote>
  <w:footnote w:id="28">
    <w:p w14:paraId="543EDF54" w14:textId="77777777" w:rsidR="00063AE7" w:rsidRPr="00E75D83" w:rsidRDefault="00063AE7" w:rsidP="00AA310B">
      <w:pPr>
        <w:pStyle w:val="a4"/>
        <w:jc w:val="both"/>
        <w:rPr>
          <w:sz w:val="20"/>
          <w:rtl/>
        </w:rPr>
      </w:pPr>
      <w:r w:rsidRPr="00E75D83">
        <w:rPr>
          <w:sz w:val="20"/>
        </w:rPr>
        <w:t xml:space="preserve">Begleiter </w:t>
      </w:r>
      <w:r w:rsidRPr="00E75D83">
        <w:rPr>
          <w:rStyle w:val="a3"/>
          <w:sz w:val="20"/>
        </w:rPr>
        <w:footnoteRef/>
      </w:r>
      <w:r w:rsidRPr="00E75D83">
        <w:rPr>
          <w:smallCaps/>
          <w:sz w:val="20"/>
          <w:rtl/>
        </w:rPr>
        <w:t xml:space="preserve">, </w:t>
      </w:r>
      <w:r w:rsidRPr="00E75D83">
        <w:rPr>
          <w:rFonts w:hint="eastAsia"/>
          <w:smallCaps/>
          <w:sz w:val="20"/>
          <w:rtl/>
        </w:rPr>
        <w:t>לעיל</w:t>
      </w:r>
      <w:r w:rsidRPr="00E75D83">
        <w:rPr>
          <w:smallCaps/>
          <w:sz w:val="20"/>
          <w:rtl/>
        </w:rPr>
        <w:t xml:space="preserve"> </w:t>
      </w:r>
      <w:proofErr w:type="spellStart"/>
      <w:r w:rsidRPr="00E75D83">
        <w:rPr>
          <w:rFonts w:hint="eastAsia"/>
          <w:smallCaps/>
          <w:sz w:val="20"/>
          <w:rtl/>
        </w:rPr>
        <w:t>ה</w:t>
      </w:r>
      <w:r w:rsidRPr="00E75D83">
        <w:rPr>
          <w:smallCaps/>
          <w:sz w:val="20"/>
          <w:rtl/>
        </w:rPr>
        <w:t>"ש</w:t>
      </w:r>
      <w:proofErr w:type="spellEnd"/>
      <w:r w:rsidRPr="00E75D83">
        <w:rPr>
          <w:smallCaps/>
          <w:sz w:val="20"/>
          <w:rtl/>
        </w:rPr>
        <w:t xml:space="preserve"> </w:t>
      </w:r>
      <w:r w:rsidRPr="0070551B">
        <w:rPr>
          <w:smallCaps/>
          <w:sz w:val="20"/>
          <w:rtl/>
        </w:rPr>
        <w:fldChar w:fldCharType="begin"/>
      </w:r>
      <w:r w:rsidRPr="00E75D83">
        <w:rPr>
          <w:smallCaps/>
          <w:sz w:val="20"/>
          <w:rtl/>
        </w:rPr>
        <w:instrText xml:space="preserve"> </w:instrText>
      </w:r>
      <w:r w:rsidRPr="00E75D83">
        <w:rPr>
          <w:smallCaps/>
          <w:sz w:val="20"/>
        </w:rPr>
        <w:instrText>NOTEREF</w:instrText>
      </w:r>
      <w:r w:rsidRPr="00E75D83">
        <w:rPr>
          <w:smallCaps/>
          <w:sz w:val="20"/>
          <w:rtl/>
        </w:rPr>
        <w:instrText xml:space="preserve"> _</w:instrText>
      </w:r>
      <w:r w:rsidRPr="00E75D83">
        <w:rPr>
          <w:smallCaps/>
          <w:sz w:val="20"/>
        </w:rPr>
        <w:instrText>Ref497718253 \h</w:instrText>
      </w:r>
      <w:r w:rsidRPr="00E75D83">
        <w:rPr>
          <w:smallCaps/>
          <w:sz w:val="20"/>
          <w:rtl/>
        </w:rPr>
        <w:instrText xml:space="preserve"> </w:instrText>
      </w:r>
      <w:r>
        <w:rPr>
          <w:smallCaps/>
          <w:sz w:val="20"/>
          <w:rtl/>
        </w:rPr>
        <w:instrText xml:space="preserve"> \* </w:instrText>
      </w:r>
      <w:r>
        <w:rPr>
          <w:smallCaps/>
          <w:sz w:val="20"/>
        </w:rPr>
        <w:instrText>MERGEFORMAT</w:instrText>
      </w:r>
      <w:r>
        <w:rPr>
          <w:smallCaps/>
          <w:sz w:val="20"/>
          <w:rtl/>
        </w:rPr>
        <w:instrText xml:space="preserve"> </w:instrText>
      </w:r>
      <w:r w:rsidRPr="0070551B">
        <w:rPr>
          <w:smallCaps/>
          <w:sz w:val="20"/>
          <w:rtl/>
        </w:rPr>
      </w:r>
      <w:r w:rsidRPr="0070551B">
        <w:rPr>
          <w:smallCaps/>
          <w:sz w:val="20"/>
          <w:rtl/>
        </w:rPr>
        <w:fldChar w:fldCharType="separate"/>
      </w:r>
      <w:r>
        <w:rPr>
          <w:smallCaps/>
          <w:sz w:val="20"/>
          <w:rtl/>
        </w:rPr>
        <w:t>6</w:t>
      </w:r>
      <w:r w:rsidRPr="0070551B">
        <w:rPr>
          <w:smallCaps/>
          <w:sz w:val="20"/>
          <w:rtl/>
        </w:rPr>
        <w:fldChar w:fldCharType="end"/>
      </w:r>
      <w:r w:rsidRPr="00E75D83">
        <w:rPr>
          <w:smallCaps/>
          <w:sz w:val="20"/>
          <w:rtl/>
        </w:rPr>
        <w:t xml:space="preserve">, </w:t>
      </w:r>
      <w:r w:rsidRPr="00E75D83">
        <w:rPr>
          <w:rFonts w:hint="eastAsia"/>
          <w:smallCaps/>
          <w:sz w:val="20"/>
          <w:rtl/>
        </w:rPr>
        <w:t>בעמ</w:t>
      </w:r>
      <w:r w:rsidRPr="00E75D83">
        <w:rPr>
          <w:smallCaps/>
          <w:sz w:val="20"/>
          <w:rtl/>
        </w:rPr>
        <w:t>' 645–648.</w:t>
      </w:r>
    </w:p>
  </w:footnote>
  <w:footnote w:id="29">
    <w:p w14:paraId="0B0A7EBF" w14:textId="77777777" w:rsidR="00063AE7" w:rsidRPr="00E75D83" w:rsidRDefault="00063AE7" w:rsidP="00AA310B">
      <w:pPr>
        <w:pStyle w:val="a4"/>
        <w:jc w:val="both"/>
        <w:rPr>
          <w:sz w:val="20"/>
          <w:rtl/>
        </w:rPr>
      </w:pPr>
      <w:r w:rsidRPr="00E75D83">
        <w:rPr>
          <w:rStyle w:val="a3"/>
          <w:sz w:val="20"/>
        </w:rPr>
        <w:footnoteRef/>
      </w:r>
      <w:r w:rsidRPr="00E75D83">
        <w:rPr>
          <w:sz w:val="20"/>
          <w:rtl/>
        </w:rPr>
        <w:t xml:space="preserve"> </w:t>
      </w:r>
      <w:r w:rsidRPr="00E75D83">
        <w:rPr>
          <w:sz w:val="20"/>
        </w:rPr>
        <w:t>In order to frighten</w:t>
      </w:r>
      <w:r w:rsidRPr="00E75D83">
        <w:rPr>
          <w:sz w:val="20"/>
          <w:rtl/>
        </w:rPr>
        <w:t>.</w:t>
      </w:r>
    </w:p>
  </w:footnote>
  <w:footnote w:id="30">
    <w:p w14:paraId="2CAD2813"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באופן</w:t>
      </w:r>
      <w:r w:rsidRPr="00E75D83">
        <w:rPr>
          <w:sz w:val="20"/>
          <w:rtl/>
        </w:rPr>
        <w:t xml:space="preserve"> מסורתי, תניות </w:t>
      </w:r>
      <w:r w:rsidRPr="00E75D83">
        <w:rPr>
          <w:i/>
          <w:iCs/>
          <w:sz w:val="20"/>
        </w:rPr>
        <w:t>in terrorem</w:t>
      </w:r>
      <w:r w:rsidRPr="00E75D83">
        <w:rPr>
          <w:sz w:val="20"/>
          <w:rtl/>
        </w:rPr>
        <w:t xml:space="preserve"> משמשות את המוריש באחד משני נושאים: הראשון, הטלת מגבלות בענייני נישואין על היורשים (לדוגמה איסור להינשא לאדם מסוים או לאדם ממעמד מסוים או התניית הנישואין באישורו של אדם אחר), והשני הוא הטלת איסור על תקיפת הצוואה או כל פנייה לערכאות שתפגע במימושה.</w:t>
      </w:r>
    </w:p>
  </w:footnote>
  <w:footnote w:id="31">
    <w:p w14:paraId="09E72DB5" w14:textId="6398ED6B" w:rsidR="00063AE7" w:rsidRPr="00E75D83" w:rsidRDefault="00063AE7" w:rsidP="00252977">
      <w:pPr>
        <w:overflowPunct/>
        <w:jc w:val="both"/>
        <w:textAlignment w:val="auto"/>
        <w:rPr>
          <w:rFonts w:asciiTheme="majorBidi" w:hAnsiTheme="majorBidi" w:cstheme="majorBidi"/>
          <w:color w:val="FF0000"/>
          <w:sz w:val="20"/>
          <w:szCs w:val="20"/>
          <w:rtl/>
        </w:rPr>
      </w:pPr>
      <w:r w:rsidRPr="00E75D83">
        <w:rPr>
          <w:rStyle w:val="a3"/>
          <w:sz w:val="20"/>
          <w:szCs w:val="20"/>
        </w:rPr>
        <w:footnoteRef/>
      </w:r>
      <w:r w:rsidRPr="00E75D83">
        <w:rPr>
          <w:sz w:val="20"/>
          <w:szCs w:val="20"/>
          <w:rtl/>
        </w:rPr>
        <w:t xml:space="preserve"> </w:t>
      </w:r>
      <w:r w:rsidRPr="00E75D83">
        <w:rPr>
          <w:rFonts w:hint="eastAsia"/>
          <w:sz w:val="20"/>
          <w:szCs w:val="20"/>
          <w:rtl/>
        </w:rPr>
        <w:t>תנאי</w:t>
      </w:r>
      <w:r w:rsidRPr="00E75D83">
        <w:rPr>
          <w:sz w:val="20"/>
          <w:szCs w:val="20"/>
          <w:rtl/>
        </w:rPr>
        <w:t xml:space="preserve"> זה הוא שריד משפטי היסטורי שאין לו כל הצדקה עניינית הקשורה לנושא של תניות סילוקין. הדין הנוגע </w:t>
      </w:r>
      <w:r w:rsidRPr="00E75D83">
        <w:rPr>
          <w:rFonts w:hint="eastAsia"/>
          <w:sz w:val="20"/>
          <w:szCs w:val="20"/>
          <w:rtl/>
        </w:rPr>
        <w:t>לתניות</w:t>
      </w:r>
      <w:r w:rsidRPr="00E75D83">
        <w:rPr>
          <w:sz w:val="20"/>
          <w:szCs w:val="20"/>
          <w:rtl/>
        </w:rPr>
        <w:t xml:space="preserve"> הפחדה אומץ בקנדה מהדין שחל באנגליה בתחילת המאה ה-20, אשר דרש </w:t>
      </w:r>
      <w:r w:rsidRPr="00E75D83">
        <w:rPr>
          <w:rFonts w:hint="eastAsia"/>
          <w:sz w:val="20"/>
          <w:szCs w:val="20"/>
          <w:rtl/>
        </w:rPr>
        <w:t>שהתנייה</w:t>
      </w:r>
      <w:r w:rsidRPr="00E75D83">
        <w:rPr>
          <w:sz w:val="20"/>
          <w:szCs w:val="20"/>
          <w:rtl/>
        </w:rPr>
        <w:t xml:space="preserve"> תיגע לנכסי מיטלטלין, וזאת בשל סוגיות דיוניות של חלוקת הסמכויות בין הערכאות השיפוטיות השונות. בעבר, בתי המשפט הכנסייתיים (</w:t>
      </w:r>
      <w:r w:rsidRPr="00E75D83">
        <w:rPr>
          <w:sz w:val="20"/>
          <w:szCs w:val="20"/>
        </w:rPr>
        <w:t>ecclesiastical courts</w:t>
      </w:r>
      <w:r w:rsidRPr="00E75D83">
        <w:rPr>
          <w:sz w:val="20"/>
          <w:szCs w:val="20"/>
          <w:rtl/>
        </w:rPr>
        <w:t xml:space="preserve">) היו בעלי הסמכות לדון בניהול עזבון ובניהול צוואה, אך סמכות זו ניתנה רק לעניין נכסי מיטלטלין ומצב זה הוליד הבחנה ברורה בין נכסי מיטלטלין לבין נכסי מקרקעין ונדל"ן. גם כאשר סמכויות בתי המשפט הכנסייתיים עברו לערכאות האזרחיות, נשמרו האבחנות שנוצרו ויושמו בערכאות הללו. ראו: </w:t>
      </w:r>
      <w:r w:rsidRPr="00E75D83">
        <w:rPr>
          <w:rFonts w:asciiTheme="majorBidi" w:eastAsiaTheme="minorHAnsi" w:hAnsiTheme="majorBidi" w:cstheme="majorBidi"/>
          <w:sz w:val="20"/>
          <w:szCs w:val="20"/>
        </w:rPr>
        <w:t xml:space="preserve">Peter G. Lawson, </w:t>
      </w:r>
      <w:r w:rsidRPr="00E75D83">
        <w:rPr>
          <w:rFonts w:asciiTheme="majorBidi" w:eastAsiaTheme="minorHAnsi" w:hAnsiTheme="majorBidi" w:cstheme="majorBidi"/>
          <w:i/>
          <w:iCs/>
          <w:sz w:val="20"/>
          <w:szCs w:val="20"/>
        </w:rPr>
        <w:t xml:space="preserve">The Rule against in Terrorem Conditions: </w:t>
      </w:r>
      <w:r w:rsidRPr="00B5255F">
        <w:rPr>
          <w:rFonts w:asciiTheme="majorBidi" w:eastAsiaTheme="minorHAnsi" w:hAnsiTheme="majorBidi" w:cstheme="majorBidi"/>
          <w:i/>
          <w:iCs/>
          <w:sz w:val="20"/>
          <w:szCs w:val="20"/>
        </w:rPr>
        <w:t>What Is It? Where Did It Come from? Do We Really Need It</w:t>
      </w:r>
      <w:r w:rsidRPr="00B5255F">
        <w:rPr>
          <w:rFonts w:asciiTheme="majorBidi" w:eastAsiaTheme="minorHAnsi" w:hAnsiTheme="majorBidi" w:cstheme="majorBidi"/>
          <w:sz w:val="20"/>
          <w:szCs w:val="20"/>
        </w:rPr>
        <w:t xml:space="preserve">, 25 </w:t>
      </w:r>
      <w:r w:rsidRPr="00B5255F">
        <w:rPr>
          <w:rFonts w:asciiTheme="majorBidi" w:eastAsiaTheme="minorHAnsi" w:hAnsiTheme="majorBidi" w:cstheme="majorBidi"/>
          <w:smallCaps/>
          <w:sz w:val="20"/>
          <w:szCs w:val="20"/>
        </w:rPr>
        <w:t>Est.Tr. &amp; Pensions J</w:t>
      </w:r>
      <w:r w:rsidRPr="00B5255F">
        <w:rPr>
          <w:rFonts w:asciiTheme="majorBidi" w:eastAsiaTheme="minorHAnsi" w:hAnsiTheme="majorBidi" w:cstheme="majorBidi"/>
          <w:sz w:val="20"/>
          <w:szCs w:val="20"/>
        </w:rPr>
        <w:t>. 71, 77–78, 84 (2006)</w:t>
      </w:r>
      <w:r w:rsidRPr="00B5255F">
        <w:rPr>
          <w:rFonts w:asciiTheme="majorBidi" w:eastAsiaTheme="minorHAnsi" w:hAnsiTheme="majorBidi" w:cstheme="majorBidi"/>
          <w:sz w:val="20"/>
          <w:szCs w:val="20"/>
          <w:rtl/>
        </w:rPr>
        <w:t xml:space="preserve">. </w:t>
      </w:r>
      <w:r w:rsidRPr="00B5255F">
        <w:rPr>
          <w:rFonts w:asciiTheme="majorBidi" w:eastAsiaTheme="minorHAnsi" w:hAnsiTheme="majorBidi" w:hint="eastAsia"/>
          <w:sz w:val="20"/>
          <w:szCs w:val="20"/>
          <w:rtl/>
        </w:rPr>
        <w:t>להרחבה</w:t>
      </w:r>
      <w:r w:rsidRPr="00B5255F">
        <w:rPr>
          <w:rFonts w:asciiTheme="majorBidi" w:eastAsiaTheme="minorHAnsi" w:hAnsiTheme="majorBidi"/>
          <w:sz w:val="20"/>
          <w:szCs w:val="20"/>
          <w:rtl/>
        </w:rPr>
        <w:t xml:space="preserve"> בנושאים אלו ראו: </w:t>
      </w:r>
      <w:r w:rsidRPr="006D3A81">
        <w:rPr>
          <w:rFonts w:asciiTheme="majorBidi" w:eastAsiaTheme="minorHAnsi" w:hAnsiTheme="majorBidi" w:hint="eastAsia"/>
          <w:sz w:val="20"/>
          <w:szCs w:val="20"/>
          <w:rtl/>
        </w:rPr>
        <w:t>שם</w:t>
      </w:r>
      <w:r w:rsidRPr="006D3A81">
        <w:rPr>
          <w:rFonts w:asciiTheme="majorBidi" w:eastAsiaTheme="minorHAnsi" w:hAnsiTheme="majorBidi"/>
          <w:sz w:val="20"/>
          <w:szCs w:val="20"/>
          <w:rtl/>
        </w:rPr>
        <w:t xml:space="preserve">, </w:t>
      </w:r>
      <w:r w:rsidRPr="006D3A81">
        <w:rPr>
          <w:rFonts w:asciiTheme="majorBidi" w:eastAsiaTheme="minorHAnsi" w:hAnsiTheme="majorBidi" w:hint="eastAsia"/>
          <w:sz w:val="20"/>
          <w:szCs w:val="20"/>
          <w:rtl/>
        </w:rPr>
        <w:t>ה</w:t>
      </w:r>
      <w:r w:rsidRPr="006D3A81">
        <w:rPr>
          <w:rFonts w:asciiTheme="majorBidi" w:eastAsiaTheme="minorHAnsi" w:hAnsiTheme="majorBidi"/>
          <w:sz w:val="20"/>
          <w:szCs w:val="20"/>
          <w:rtl/>
        </w:rPr>
        <w:t>"</w:t>
      </w:r>
      <w:r w:rsidRPr="006D3A81">
        <w:rPr>
          <w:rFonts w:asciiTheme="majorBidi" w:eastAsiaTheme="minorHAnsi" w:hAnsiTheme="majorBidi" w:hint="eastAsia"/>
          <w:sz w:val="20"/>
          <w:szCs w:val="20"/>
          <w:rtl/>
        </w:rPr>
        <w:t>ש</w:t>
      </w:r>
      <w:r w:rsidRPr="006D3A81">
        <w:rPr>
          <w:rFonts w:asciiTheme="majorBidi" w:eastAsiaTheme="minorHAnsi" w:hAnsiTheme="majorBidi"/>
          <w:sz w:val="20"/>
          <w:szCs w:val="20"/>
          <w:rtl/>
        </w:rPr>
        <w:t xml:space="preserve"> 32, 35, 58–59.</w:t>
      </w:r>
    </w:p>
  </w:footnote>
  <w:footnote w:id="32">
    <w:p w14:paraId="04D13334" w14:textId="3ECD6221" w:rsidR="00063AE7" w:rsidRPr="00E75D83" w:rsidRDefault="00063AE7" w:rsidP="006340A2">
      <w:pPr>
        <w:overflowPunct/>
        <w:jc w:val="both"/>
        <w:textAlignment w:val="auto"/>
        <w:rPr>
          <w:rFonts w:hint="cs"/>
          <w:sz w:val="20"/>
          <w:szCs w:val="20"/>
          <w:rtl/>
        </w:rPr>
      </w:pPr>
      <w:r w:rsidRPr="00E75D83">
        <w:rPr>
          <w:rStyle w:val="a3"/>
          <w:sz w:val="20"/>
          <w:szCs w:val="20"/>
        </w:rPr>
        <w:footnoteRef/>
      </w:r>
      <w:r w:rsidRPr="00E75D83">
        <w:rPr>
          <w:sz w:val="20"/>
          <w:szCs w:val="20"/>
          <w:rtl/>
        </w:rPr>
        <w:t xml:space="preserve"> </w:t>
      </w:r>
      <w:r w:rsidRPr="00E75D83">
        <w:rPr>
          <w:rFonts w:eastAsiaTheme="minorHAnsi"/>
          <w:sz w:val="20"/>
          <w:szCs w:val="20"/>
        </w:rPr>
        <w:t>Kent (Re) (1982), 139 D.L.R. (3d) 318, 319, 13 E.T.R. 53, [1982] 6 W.W.R. 165</w:t>
      </w:r>
      <w:r w:rsidRPr="00E75D83">
        <w:rPr>
          <w:rFonts w:eastAsiaTheme="minorHAnsi"/>
          <w:sz w:val="20"/>
          <w:szCs w:val="20"/>
          <w:rtl/>
        </w:rPr>
        <w:t>.</w:t>
      </w:r>
      <w:r w:rsidRPr="00E75D83">
        <w:rPr>
          <w:rFonts w:eastAsiaTheme="minorHAnsi"/>
          <w:sz w:val="20"/>
          <w:szCs w:val="20"/>
        </w:rPr>
        <w:t xml:space="preserve"> (</w:t>
      </w:r>
      <w:proofErr w:type="gramStart"/>
      <w:r w:rsidRPr="00E75D83">
        <w:rPr>
          <w:rFonts w:eastAsiaTheme="minorHAnsi"/>
          <w:sz w:val="20"/>
          <w:szCs w:val="20"/>
        </w:rPr>
        <w:t>B.C.S.C.)</w:t>
      </w:r>
      <w:r w:rsidR="00094CD0">
        <w:rPr>
          <w:rFonts w:eastAsiaTheme="minorHAnsi" w:hint="cs"/>
          <w:sz w:val="20"/>
          <w:szCs w:val="20"/>
          <w:rtl/>
        </w:rPr>
        <w:t>(</w:t>
      </w:r>
      <w:proofErr w:type="gramEnd"/>
      <w:r w:rsidR="00094CD0">
        <w:rPr>
          <w:rFonts w:eastAsiaTheme="minorHAnsi" w:hint="cs"/>
          <w:sz w:val="20"/>
          <w:szCs w:val="20"/>
          <w:rtl/>
        </w:rPr>
        <w:t xml:space="preserve">להלן: עניין </w:t>
      </w:r>
      <w:r w:rsidR="00094CD0" w:rsidRPr="00094CD0">
        <w:rPr>
          <w:rFonts w:eastAsiaTheme="minorHAnsi" w:hint="cs"/>
          <w:b/>
          <w:bCs/>
          <w:i/>
          <w:iCs/>
          <w:sz w:val="20"/>
          <w:szCs w:val="20"/>
        </w:rPr>
        <w:t>K</w:t>
      </w:r>
      <w:r w:rsidR="00094CD0" w:rsidRPr="00094CD0">
        <w:rPr>
          <w:rFonts w:eastAsiaTheme="minorHAnsi"/>
          <w:b/>
          <w:bCs/>
          <w:i/>
          <w:iCs/>
          <w:sz w:val="20"/>
          <w:szCs w:val="20"/>
        </w:rPr>
        <w:t>ent</w:t>
      </w:r>
      <w:r w:rsidR="00094CD0">
        <w:rPr>
          <w:rFonts w:eastAsiaTheme="minorHAnsi" w:hint="cs"/>
          <w:sz w:val="20"/>
          <w:szCs w:val="20"/>
          <w:rtl/>
        </w:rPr>
        <w:t>).</w:t>
      </w:r>
    </w:p>
  </w:footnote>
  <w:footnote w:id="33">
    <w:p w14:paraId="68A5F913" w14:textId="77777777" w:rsidR="00063AE7" w:rsidRPr="00B5255F" w:rsidRDefault="00063AE7" w:rsidP="003C0B63">
      <w:pPr>
        <w:pStyle w:val="a4"/>
        <w:jc w:val="both"/>
        <w:rPr>
          <w:sz w:val="20"/>
          <w:rtl/>
        </w:rPr>
      </w:pPr>
      <w:r w:rsidRPr="00B5255F">
        <w:rPr>
          <w:rStyle w:val="a3"/>
          <w:sz w:val="20"/>
        </w:rPr>
        <w:footnoteRef/>
      </w:r>
      <w:r w:rsidRPr="00B5255F">
        <w:rPr>
          <w:sz w:val="20"/>
          <w:rtl/>
        </w:rPr>
        <w:t xml:space="preserve"> </w:t>
      </w:r>
      <w:r w:rsidRPr="00B5255F">
        <w:rPr>
          <w:rFonts w:hint="eastAsia"/>
          <w:sz w:val="20"/>
          <w:rtl/>
        </w:rPr>
        <w:t>שם</w:t>
      </w:r>
      <w:r w:rsidRPr="00B5255F">
        <w:rPr>
          <w:sz w:val="20"/>
          <w:rtl/>
        </w:rPr>
        <w:t xml:space="preserve">, </w:t>
      </w:r>
      <w:r w:rsidRPr="00B5255F">
        <w:rPr>
          <w:rFonts w:hint="eastAsia"/>
          <w:sz w:val="20"/>
          <w:rtl/>
        </w:rPr>
        <w:t>בעמ</w:t>
      </w:r>
      <w:r w:rsidRPr="00B5255F">
        <w:rPr>
          <w:sz w:val="20"/>
          <w:rtl/>
        </w:rPr>
        <w:t>' 321.</w:t>
      </w:r>
    </w:p>
  </w:footnote>
  <w:footnote w:id="34">
    <w:p w14:paraId="42514E08" w14:textId="77777777" w:rsidR="00063AE7" w:rsidRPr="00B5255F" w:rsidRDefault="00063AE7" w:rsidP="003C0B63">
      <w:pPr>
        <w:pStyle w:val="2"/>
        <w:shd w:val="clear" w:color="auto" w:fill="FFFFFF"/>
        <w:bidi/>
        <w:spacing w:before="0" w:beforeAutospacing="0" w:after="0" w:afterAutospacing="0"/>
        <w:jc w:val="both"/>
        <w:rPr>
          <w:rFonts w:cs="David"/>
          <w:b w:val="0"/>
          <w:bCs w:val="0"/>
          <w:sz w:val="20"/>
          <w:szCs w:val="20"/>
          <w:rtl/>
        </w:rPr>
      </w:pPr>
      <w:r w:rsidRPr="00B5255F">
        <w:rPr>
          <w:rStyle w:val="a3"/>
          <w:b w:val="0"/>
          <w:bCs w:val="0"/>
          <w:sz w:val="20"/>
          <w:szCs w:val="20"/>
        </w:rPr>
        <w:footnoteRef/>
      </w:r>
      <w:r w:rsidRPr="00B5255F">
        <w:rPr>
          <w:rFonts w:cs="David"/>
          <w:b w:val="0"/>
          <w:bCs w:val="0"/>
          <w:sz w:val="20"/>
          <w:szCs w:val="20"/>
          <w:rtl/>
        </w:rPr>
        <w:t xml:space="preserve"> </w:t>
      </w:r>
      <w:r w:rsidRPr="00B5255F">
        <w:rPr>
          <w:rFonts w:cs="David"/>
          <w:b w:val="0"/>
          <w:bCs w:val="0"/>
          <w:sz w:val="20"/>
          <w:szCs w:val="20"/>
        </w:rPr>
        <w:t>Wills Variation Act [RSBC 1996] Chapter 490</w:t>
      </w:r>
      <w:r w:rsidRPr="00B5255F">
        <w:rPr>
          <w:rFonts w:cs="David"/>
          <w:b w:val="0"/>
          <w:bCs w:val="0"/>
          <w:sz w:val="20"/>
          <w:szCs w:val="20"/>
          <w:rtl/>
        </w:rPr>
        <w:t xml:space="preserve">; </w:t>
      </w:r>
      <w:r w:rsidRPr="00B5255F">
        <w:rPr>
          <w:rFonts w:cs="David" w:hint="eastAsia"/>
          <w:b w:val="0"/>
          <w:bCs w:val="0"/>
          <w:sz w:val="20"/>
          <w:szCs w:val="20"/>
          <w:rtl/>
        </w:rPr>
        <w:t>חוק</w:t>
      </w:r>
      <w:r w:rsidRPr="00B5255F">
        <w:rPr>
          <w:rFonts w:cs="David"/>
          <w:b w:val="0"/>
          <w:bCs w:val="0"/>
          <w:sz w:val="20"/>
          <w:szCs w:val="20"/>
          <w:rtl/>
        </w:rPr>
        <w:t xml:space="preserve"> </w:t>
      </w:r>
      <w:r w:rsidRPr="00B5255F">
        <w:rPr>
          <w:rFonts w:cs="David" w:hint="eastAsia"/>
          <w:b w:val="0"/>
          <w:bCs w:val="0"/>
          <w:sz w:val="20"/>
          <w:szCs w:val="20"/>
          <w:rtl/>
        </w:rPr>
        <w:t>זה</w:t>
      </w:r>
      <w:r w:rsidRPr="00B5255F">
        <w:rPr>
          <w:rFonts w:cs="David"/>
          <w:b w:val="0"/>
          <w:bCs w:val="0"/>
          <w:sz w:val="20"/>
          <w:szCs w:val="20"/>
          <w:rtl/>
        </w:rPr>
        <w:t xml:space="preserve"> </w:t>
      </w:r>
      <w:r w:rsidRPr="00B5255F">
        <w:rPr>
          <w:rFonts w:cs="David" w:hint="eastAsia"/>
          <w:b w:val="0"/>
          <w:bCs w:val="0"/>
          <w:sz w:val="20"/>
          <w:szCs w:val="20"/>
          <w:rtl/>
        </w:rPr>
        <w:t>הוחלף</w:t>
      </w:r>
      <w:r w:rsidRPr="00B5255F">
        <w:rPr>
          <w:rFonts w:cs="David"/>
          <w:b w:val="0"/>
          <w:bCs w:val="0"/>
          <w:sz w:val="20"/>
          <w:szCs w:val="20"/>
          <w:rtl/>
        </w:rPr>
        <w:t xml:space="preserve"> </w:t>
      </w:r>
      <w:r w:rsidRPr="00B5255F">
        <w:rPr>
          <w:rFonts w:cs="David" w:hint="eastAsia"/>
          <w:b w:val="0"/>
          <w:bCs w:val="0"/>
          <w:sz w:val="20"/>
          <w:szCs w:val="20"/>
          <w:rtl/>
        </w:rPr>
        <w:t>והוראותיו</w:t>
      </w:r>
      <w:r w:rsidRPr="00B5255F">
        <w:rPr>
          <w:rFonts w:cs="David"/>
          <w:b w:val="0"/>
          <w:bCs w:val="0"/>
          <w:sz w:val="20"/>
          <w:szCs w:val="20"/>
          <w:rtl/>
        </w:rPr>
        <w:t xml:space="preserve"> </w:t>
      </w:r>
      <w:r w:rsidRPr="00B5255F">
        <w:rPr>
          <w:rFonts w:cs="David" w:hint="eastAsia"/>
          <w:b w:val="0"/>
          <w:bCs w:val="0"/>
          <w:sz w:val="20"/>
          <w:szCs w:val="20"/>
          <w:rtl/>
        </w:rPr>
        <w:t>נקלטו</w:t>
      </w:r>
      <w:r w:rsidRPr="00B5255F">
        <w:rPr>
          <w:rFonts w:cs="David"/>
          <w:b w:val="0"/>
          <w:bCs w:val="0"/>
          <w:sz w:val="20"/>
          <w:szCs w:val="20"/>
          <w:rtl/>
        </w:rPr>
        <w:t xml:space="preserve"> </w:t>
      </w:r>
      <w:r w:rsidRPr="00B5255F">
        <w:rPr>
          <w:rFonts w:cs="David" w:hint="eastAsia"/>
          <w:b w:val="0"/>
          <w:bCs w:val="0"/>
          <w:sz w:val="20"/>
          <w:szCs w:val="20"/>
          <w:rtl/>
        </w:rPr>
        <w:t>ב</w:t>
      </w:r>
      <w:r w:rsidRPr="00B5255F">
        <w:rPr>
          <w:rFonts w:cs="David"/>
          <w:b w:val="0"/>
          <w:bCs w:val="0"/>
          <w:sz w:val="20"/>
          <w:szCs w:val="20"/>
          <w:rtl/>
        </w:rPr>
        <w:t>-</w:t>
      </w:r>
      <w:r w:rsidRPr="00B5255F">
        <w:rPr>
          <w:rFonts w:cs="David"/>
          <w:b w:val="0"/>
          <w:bCs w:val="0"/>
          <w:sz w:val="20"/>
          <w:szCs w:val="20"/>
        </w:rPr>
        <w:t xml:space="preserve"> Wills, Estates </w:t>
      </w:r>
      <w:proofErr w:type="gramStart"/>
      <w:r w:rsidRPr="00B5255F">
        <w:rPr>
          <w:rFonts w:cs="David"/>
          <w:b w:val="0"/>
          <w:bCs w:val="0"/>
          <w:sz w:val="20"/>
          <w:szCs w:val="20"/>
        </w:rPr>
        <w:t>And</w:t>
      </w:r>
      <w:proofErr w:type="gramEnd"/>
      <w:r w:rsidRPr="00B5255F">
        <w:rPr>
          <w:rFonts w:cs="David"/>
          <w:b w:val="0"/>
          <w:bCs w:val="0"/>
          <w:sz w:val="20"/>
          <w:szCs w:val="20"/>
        </w:rPr>
        <w:t xml:space="preserve"> Succession Act [SBC 2009] Chapter 13</w:t>
      </w:r>
      <w:r w:rsidRPr="00B5255F">
        <w:rPr>
          <w:rFonts w:cs="David"/>
          <w:b w:val="0"/>
          <w:bCs w:val="0"/>
          <w:sz w:val="20"/>
          <w:szCs w:val="20"/>
          <w:rtl/>
        </w:rPr>
        <w:t xml:space="preserve">. </w:t>
      </w:r>
    </w:p>
  </w:footnote>
  <w:footnote w:id="35">
    <w:p w14:paraId="442B539C" w14:textId="77777777" w:rsidR="00063AE7" w:rsidRPr="00E75D83" w:rsidRDefault="00063AE7" w:rsidP="0012137C">
      <w:pPr>
        <w:pStyle w:val="a4"/>
        <w:jc w:val="both"/>
        <w:rPr>
          <w:sz w:val="20"/>
          <w:rtl/>
        </w:rPr>
      </w:pPr>
      <w:r w:rsidRPr="00B5255F">
        <w:rPr>
          <w:rStyle w:val="a3"/>
          <w:sz w:val="20"/>
        </w:rPr>
        <w:footnoteRef/>
      </w:r>
      <w:r w:rsidRPr="00B5255F">
        <w:rPr>
          <w:sz w:val="20"/>
          <w:rtl/>
        </w:rPr>
        <w:t xml:space="preserve"> </w:t>
      </w:r>
      <w:r w:rsidRPr="00B5255F">
        <w:rPr>
          <w:rFonts w:hint="eastAsia"/>
          <w:sz w:val="20"/>
          <w:rtl/>
        </w:rPr>
        <w:t>עניין</w:t>
      </w:r>
      <w:r w:rsidRPr="00B5255F">
        <w:rPr>
          <w:sz w:val="20"/>
          <w:rtl/>
        </w:rPr>
        <w:t xml:space="preserve"> </w:t>
      </w:r>
      <w:r w:rsidRPr="00094CD0">
        <w:rPr>
          <w:b/>
          <w:bCs/>
          <w:i/>
          <w:iCs/>
          <w:sz w:val="20"/>
        </w:rPr>
        <w:t>Kent</w:t>
      </w:r>
      <w:r w:rsidRPr="00B5255F">
        <w:rPr>
          <w:sz w:val="20"/>
          <w:rtl/>
        </w:rPr>
        <w:t xml:space="preserve">, </w:t>
      </w:r>
      <w:r w:rsidRPr="00B5255F">
        <w:rPr>
          <w:rFonts w:hint="eastAsia"/>
          <w:sz w:val="20"/>
          <w:rtl/>
        </w:rPr>
        <w:t>לעיל</w:t>
      </w:r>
      <w:r w:rsidRPr="00B5255F">
        <w:rPr>
          <w:sz w:val="20"/>
          <w:rtl/>
        </w:rPr>
        <w:t xml:space="preserve"> </w:t>
      </w:r>
      <w:proofErr w:type="spellStart"/>
      <w:r w:rsidRPr="00B5255F">
        <w:rPr>
          <w:rFonts w:hint="eastAsia"/>
          <w:sz w:val="20"/>
          <w:rtl/>
        </w:rPr>
        <w:t>ה</w:t>
      </w:r>
      <w:r w:rsidRPr="00B5255F">
        <w:rPr>
          <w:sz w:val="20"/>
          <w:rtl/>
        </w:rPr>
        <w:t>"ש</w:t>
      </w:r>
      <w:proofErr w:type="spellEnd"/>
      <w:r w:rsidRPr="00B5255F">
        <w:rPr>
          <w:sz w:val="20"/>
          <w:rtl/>
        </w:rPr>
        <w:t xml:space="preserve"> </w:t>
      </w:r>
      <w:r w:rsidRPr="00B5255F">
        <w:rPr>
          <w:sz w:val="20"/>
          <w:rtl/>
        </w:rPr>
        <w:fldChar w:fldCharType="begin"/>
      </w:r>
      <w:r w:rsidRPr="00B5255F">
        <w:rPr>
          <w:sz w:val="20"/>
          <w:rtl/>
        </w:rPr>
        <w:instrText xml:space="preserve"> </w:instrText>
      </w:r>
      <w:r w:rsidRPr="00B5255F">
        <w:rPr>
          <w:sz w:val="20"/>
        </w:rPr>
        <w:instrText>NOTEREF</w:instrText>
      </w:r>
      <w:r w:rsidRPr="00B5255F">
        <w:rPr>
          <w:sz w:val="20"/>
          <w:rtl/>
        </w:rPr>
        <w:instrText xml:space="preserve"> _</w:instrText>
      </w:r>
      <w:r w:rsidRPr="00B5255F">
        <w:rPr>
          <w:sz w:val="20"/>
        </w:rPr>
        <w:instrText>Ref506670084 \h</w:instrText>
      </w:r>
      <w:r w:rsidRPr="00B5255F">
        <w:rPr>
          <w:sz w:val="20"/>
          <w:rtl/>
        </w:rPr>
        <w:instrText xml:space="preserve">  \* </w:instrText>
      </w:r>
      <w:r w:rsidRPr="00B5255F">
        <w:rPr>
          <w:sz w:val="20"/>
        </w:rPr>
        <w:instrText>MERGEFORMAT</w:instrText>
      </w:r>
      <w:r w:rsidRPr="00B5255F">
        <w:rPr>
          <w:sz w:val="20"/>
          <w:rtl/>
        </w:rPr>
        <w:instrText xml:space="preserve"> </w:instrText>
      </w:r>
      <w:r w:rsidRPr="00B5255F">
        <w:rPr>
          <w:sz w:val="20"/>
          <w:rtl/>
        </w:rPr>
      </w:r>
      <w:r w:rsidRPr="00B5255F">
        <w:rPr>
          <w:sz w:val="20"/>
          <w:rtl/>
        </w:rPr>
        <w:fldChar w:fldCharType="separate"/>
      </w:r>
      <w:r>
        <w:rPr>
          <w:sz w:val="20"/>
          <w:rtl/>
        </w:rPr>
        <w:t>3</w:t>
      </w:r>
      <w:r>
        <w:rPr>
          <w:sz w:val="20"/>
          <w:rtl/>
        </w:rPr>
        <w:t>2</w:t>
      </w:r>
      <w:r w:rsidRPr="00B5255F">
        <w:rPr>
          <w:sz w:val="20"/>
          <w:rtl/>
        </w:rPr>
        <w:fldChar w:fldCharType="end"/>
      </w:r>
      <w:r w:rsidRPr="00B5255F">
        <w:rPr>
          <w:sz w:val="20"/>
          <w:rtl/>
        </w:rPr>
        <w:t xml:space="preserve">. </w:t>
      </w:r>
      <w:r w:rsidRPr="00B5255F">
        <w:rPr>
          <w:rFonts w:hint="eastAsia"/>
          <w:sz w:val="20"/>
          <w:rtl/>
        </w:rPr>
        <w:t>התנייה</w:t>
      </w:r>
      <w:r w:rsidRPr="00B5255F">
        <w:rPr>
          <w:sz w:val="20"/>
          <w:rtl/>
        </w:rPr>
        <w:t xml:space="preserve"> במקרה זה הותירה פנייה לבית המשפט לצרכי פרשנות הצוואה וכן קבעה כי מי שיתנגד לצוואה יאבד את חלקו אשר יתחלק</w:t>
      </w:r>
      <w:r w:rsidRPr="00E75D83">
        <w:rPr>
          <w:sz w:val="20"/>
          <w:rtl/>
        </w:rPr>
        <w:t xml:space="preserve"> בין היורשים הנותרים בהתאם לחלוקה שנקבעה. </w:t>
      </w:r>
    </w:p>
  </w:footnote>
  <w:footnote w:id="36">
    <w:p w14:paraId="4D33652F" w14:textId="77777777" w:rsidR="00063AE7" w:rsidRPr="00E75D83" w:rsidRDefault="00063AE7" w:rsidP="003C0B63">
      <w:pPr>
        <w:overflowPunct/>
        <w:jc w:val="both"/>
        <w:textAlignment w:val="auto"/>
        <w:rPr>
          <w:sz w:val="20"/>
          <w:szCs w:val="20"/>
          <w:rtl/>
        </w:rPr>
      </w:pPr>
      <w:r w:rsidRPr="00E75D83">
        <w:rPr>
          <w:rStyle w:val="a3"/>
          <w:sz w:val="20"/>
          <w:szCs w:val="20"/>
        </w:rPr>
        <w:footnoteRef/>
      </w:r>
      <w:r w:rsidRPr="00E75D83">
        <w:rPr>
          <w:sz w:val="20"/>
          <w:szCs w:val="20"/>
          <w:rtl/>
        </w:rPr>
        <w:t xml:space="preserve"> </w:t>
      </w:r>
      <w:r w:rsidRPr="00E75D83">
        <w:rPr>
          <w:rFonts w:hint="eastAsia"/>
          <w:sz w:val="20"/>
          <w:szCs w:val="20"/>
          <w:rtl/>
        </w:rPr>
        <w:t>שם</w:t>
      </w:r>
      <w:r w:rsidRPr="00E75D83">
        <w:rPr>
          <w:sz w:val="20"/>
          <w:szCs w:val="20"/>
          <w:rtl/>
        </w:rPr>
        <w:t xml:space="preserve">, בעמ' 323. לתמיכה בטענה זו, פה בית המשפט לפסק דין אוסטרלי שניתן בעניין </w:t>
      </w:r>
      <w:r w:rsidRPr="00E75D83">
        <w:rPr>
          <w:sz w:val="20"/>
          <w:szCs w:val="20"/>
        </w:rPr>
        <w:t>Re Gaynor, [1960] V.R. 640 (Vic. S.C.)</w:t>
      </w:r>
      <w:r w:rsidRPr="00E75D83">
        <w:rPr>
          <w:sz w:val="20"/>
          <w:szCs w:val="20"/>
          <w:rtl/>
        </w:rPr>
        <w:t xml:space="preserve">, גם בפסק דין זה בוטלה </w:t>
      </w:r>
      <w:r w:rsidRPr="00E75D83">
        <w:rPr>
          <w:rFonts w:hint="eastAsia"/>
          <w:sz w:val="20"/>
          <w:szCs w:val="20"/>
          <w:rtl/>
        </w:rPr>
        <w:t>תנייה</w:t>
      </w:r>
      <w:r w:rsidRPr="00E75D83">
        <w:rPr>
          <w:sz w:val="20"/>
          <w:szCs w:val="20"/>
          <w:rtl/>
        </w:rPr>
        <w:t xml:space="preserve"> שמנעה מן היורשים לפנות לבית המשפט</w:t>
      </w:r>
      <w:r>
        <w:rPr>
          <w:rFonts w:hint="cs"/>
          <w:sz w:val="20"/>
          <w:szCs w:val="20"/>
          <w:rtl/>
        </w:rPr>
        <w:t>,</w:t>
      </w:r>
      <w:r w:rsidRPr="00E75D83">
        <w:rPr>
          <w:sz w:val="20"/>
          <w:szCs w:val="20"/>
          <w:rtl/>
        </w:rPr>
        <w:t xml:space="preserve"> למרות זכות המעוגנת בחוק</w:t>
      </w:r>
      <w:r>
        <w:rPr>
          <w:rFonts w:hint="cs"/>
          <w:sz w:val="20"/>
          <w:szCs w:val="20"/>
          <w:rtl/>
        </w:rPr>
        <w:t>,</w:t>
      </w:r>
      <w:r w:rsidRPr="00E75D83">
        <w:rPr>
          <w:sz w:val="20"/>
          <w:szCs w:val="20"/>
          <w:rtl/>
        </w:rPr>
        <w:t xml:space="preserve"> מן הטעם שהיא נוגדת את תקנת הציבור.</w:t>
      </w:r>
    </w:p>
  </w:footnote>
  <w:footnote w:id="37">
    <w:p w14:paraId="47BD89ED" w14:textId="77777777" w:rsidR="00063AE7" w:rsidRPr="00E75D83" w:rsidRDefault="00063AE7" w:rsidP="003C0B63">
      <w:pPr>
        <w:overflowPunct/>
        <w:jc w:val="both"/>
        <w:textAlignment w:val="auto"/>
        <w:rPr>
          <w:sz w:val="20"/>
          <w:szCs w:val="20"/>
          <w:rtl/>
        </w:rPr>
      </w:pPr>
      <w:r w:rsidRPr="00E75D83">
        <w:rPr>
          <w:rStyle w:val="a3"/>
          <w:sz w:val="20"/>
          <w:szCs w:val="20"/>
        </w:rPr>
        <w:footnoteRef/>
      </w:r>
      <w:r w:rsidRPr="00E75D83">
        <w:rPr>
          <w:sz w:val="20"/>
          <w:szCs w:val="20"/>
          <w:rtl/>
        </w:rPr>
        <w:t xml:space="preserve"> </w:t>
      </w:r>
      <w:r w:rsidRPr="00E75D83">
        <w:rPr>
          <w:rFonts w:eastAsiaTheme="minorHAnsi"/>
          <w:sz w:val="20"/>
          <w:szCs w:val="20"/>
        </w:rPr>
        <w:t>Bellinger v. Nuytten Estate (2003), 50 E.T.R. (2d) 1, 13 B.C.L.R. (4th) 348, [2003] B.C.J. No. 828 (QL) (S.C.)</w:t>
      </w:r>
      <w:r w:rsidRPr="00E75D83">
        <w:rPr>
          <w:sz w:val="20"/>
          <w:szCs w:val="20"/>
          <w:rtl/>
        </w:rPr>
        <w:t>.</w:t>
      </w:r>
    </w:p>
  </w:footnote>
  <w:footnote w:id="38">
    <w:p w14:paraId="4D61185F" w14:textId="2DF1C4E2" w:rsidR="00063AE7" w:rsidRPr="00E75D83" w:rsidRDefault="00063AE7" w:rsidP="00B533F2">
      <w:pPr>
        <w:pStyle w:val="a4"/>
        <w:jc w:val="both"/>
        <w:rPr>
          <w:sz w:val="20"/>
        </w:rPr>
      </w:pPr>
      <w:r w:rsidRPr="00E75D83">
        <w:rPr>
          <w:rStyle w:val="a3"/>
          <w:sz w:val="20"/>
        </w:rPr>
        <w:footnoteRef/>
      </w:r>
      <w:r w:rsidRPr="00E75D83">
        <w:rPr>
          <w:sz w:val="20"/>
          <w:rtl/>
        </w:rPr>
        <w:t xml:space="preserve"> </w:t>
      </w:r>
      <w:r w:rsidRPr="00E75D83">
        <w:rPr>
          <w:rFonts w:hint="eastAsia"/>
          <w:sz w:val="20"/>
          <w:rtl/>
        </w:rPr>
        <w:t>כאמור</w:t>
      </w:r>
      <w:r w:rsidRPr="00E75D83">
        <w:rPr>
          <w:sz w:val="20"/>
          <w:rtl/>
        </w:rPr>
        <w:t>, גם במדינת ג'ורג'יה חל מודל התוקף המותנה, אלא שהתנאי שנקבע שם נוגע לקיו</w:t>
      </w:r>
      <w:r>
        <w:rPr>
          <w:rFonts w:hint="cs"/>
          <w:sz w:val="20"/>
          <w:rtl/>
        </w:rPr>
        <w:t>ם</w:t>
      </w:r>
      <w:r w:rsidRPr="00E75D83">
        <w:rPr>
          <w:sz w:val="20"/>
          <w:rtl/>
        </w:rPr>
        <w:t xml:space="preserve"> הוראות בדבר חלוקת הרכוש לאחר הפעלת </w:t>
      </w:r>
      <w:proofErr w:type="spellStart"/>
      <w:r w:rsidRPr="00E75D83">
        <w:rPr>
          <w:rFonts w:hint="eastAsia"/>
          <w:sz w:val="20"/>
          <w:rtl/>
        </w:rPr>
        <w:t>התנייה</w:t>
      </w:r>
      <w:proofErr w:type="spellEnd"/>
      <w:r w:rsidRPr="00E75D83">
        <w:rPr>
          <w:sz w:val="20"/>
          <w:rtl/>
        </w:rPr>
        <w:t xml:space="preserve">, ואינו נוגע לבחינה מהותית של המגבלות שהטילה </w:t>
      </w:r>
      <w:proofErr w:type="spellStart"/>
      <w:r w:rsidRPr="00E75D83">
        <w:rPr>
          <w:rFonts w:hint="eastAsia"/>
          <w:sz w:val="20"/>
          <w:rtl/>
        </w:rPr>
        <w:t>התנייה</w:t>
      </w:r>
      <w:proofErr w:type="spellEnd"/>
      <w:r w:rsidRPr="00E75D83">
        <w:rPr>
          <w:sz w:val="20"/>
          <w:rtl/>
        </w:rPr>
        <w:t xml:space="preserve"> או פגיעתה בתקנת הציבור.</w:t>
      </w:r>
    </w:p>
  </w:footnote>
  <w:footnote w:id="39">
    <w:p w14:paraId="20F0D519"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לאופן סיווגו של התנאי ולהבחנה בין תנאי מפסיק, תנאי מתלה או חיוב ראו: שמואל שילה </w:t>
      </w:r>
      <w:r w:rsidRPr="00E75D83">
        <w:rPr>
          <w:b/>
          <w:bCs/>
          <w:sz w:val="20"/>
          <w:rtl/>
        </w:rPr>
        <w:t>פירוש לחוק הירושה, תשכ"ה-1965</w:t>
      </w:r>
      <w:r w:rsidRPr="00E75D83">
        <w:rPr>
          <w:sz w:val="20"/>
          <w:rtl/>
        </w:rPr>
        <w:t xml:space="preserve"> כרך ראשון 401–402 (1992).</w:t>
      </w:r>
    </w:p>
  </w:footnote>
  <w:footnote w:id="40">
    <w:p w14:paraId="522BD8BA"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בבלי</w:t>
      </w:r>
      <w:r w:rsidRPr="00E75D83">
        <w:rPr>
          <w:sz w:val="20"/>
          <w:rtl/>
        </w:rPr>
        <w:t xml:space="preserve">, </w:t>
      </w:r>
      <w:r w:rsidRPr="00E75D83">
        <w:rPr>
          <w:rFonts w:hint="eastAsia"/>
          <w:sz w:val="20"/>
          <w:rtl/>
        </w:rPr>
        <w:t>גיטין</w:t>
      </w:r>
      <w:r w:rsidRPr="00E75D83">
        <w:rPr>
          <w:sz w:val="20"/>
          <w:rtl/>
        </w:rPr>
        <w:t xml:space="preserve"> </w:t>
      </w:r>
      <w:r w:rsidRPr="00E75D83">
        <w:rPr>
          <w:rFonts w:hint="eastAsia"/>
          <w:sz w:val="20"/>
          <w:rtl/>
        </w:rPr>
        <w:t>י</w:t>
      </w:r>
      <w:r w:rsidRPr="00E75D83">
        <w:rPr>
          <w:sz w:val="20"/>
          <w:rtl/>
        </w:rPr>
        <w:t xml:space="preserve">"ד, </w:t>
      </w:r>
      <w:r w:rsidRPr="00E75D83">
        <w:rPr>
          <w:rFonts w:hint="eastAsia"/>
          <w:sz w:val="20"/>
          <w:rtl/>
        </w:rPr>
        <w:t>ע</w:t>
      </w:r>
      <w:r w:rsidRPr="00E75D83">
        <w:rPr>
          <w:sz w:val="20"/>
          <w:rtl/>
        </w:rPr>
        <w:t>"ב.</w:t>
      </w:r>
    </w:p>
  </w:footnote>
  <w:footnote w:id="41">
    <w:p w14:paraId="77263DB2" w14:textId="77777777" w:rsidR="00063AE7" w:rsidRPr="00E75D83" w:rsidRDefault="00063AE7" w:rsidP="0012137C">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כדברי</w:t>
      </w:r>
      <w:r w:rsidRPr="00E75D83">
        <w:rPr>
          <w:sz w:val="20"/>
          <w:rtl/>
        </w:rPr>
        <w:t xml:space="preserve"> השופט ח' כהן בע"א 869/75 </w:t>
      </w:r>
      <w:r w:rsidRPr="00E75D83">
        <w:rPr>
          <w:rFonts w:hint="eastAsia"/>
          <w:b/>
          <w:bCs/>
          <w:sz w:val="20"/>
          <w:rtl/>
        </w:rPr>
        <w:t>בריל</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היועץ</w:t>
      </w:r>
      <w:r w:rsidRPr="00E75D83">
        <w:rPr>
          <w:b/>
          <w:bCs/>
          <w:sz w:val="20"/>
          <w:rtl/>
        </w:rPr>
        <w:t xml:space="preserve"> </w:t>
      </w:r>
      <w:r w:rsidRPr="00E75D83">
        <w:rPr>
          <w:rFonts w:hint="eastAsia"/>
          <w:b/>
          <w:bCs/>
          <w:sz w:val="20"/>
          <w:rtl/>
        </w:rPr>
        <w:t>המשפטי</w:t>
      </w:r>
      <w:r w:rsidRPr="00E75D83">
        <w:rPr>
          <w:b/>
          <w:bCs/>
          <w:sz w:val="20"/>
          <w:rtl/>
        </w:rPr>
        <w:t xml:space="preserve"> </w:t>
      </w:r>
      <w:r w:rsidRPr="00E75D83">
        <w:rPr>
          <w:rFonts w:hint="eastAsia"/>
          <w:b/>
          <w:bCs/>
          <w:sz w:val="20"/>
          <w:rtl/>
        </w:rPr>
        <w:t>לממשלה</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לב</w:t>
      </w:r>
      <w:r w:rsidRPr="00E75D83">
        <w:rPr>
          <w:sz w:val="20"/>
          <w:rtl/>
        </w:rPr>
        <w:t xml:space="preserve">(1) 98, 102 (1977): "כללו של דבר: 'קו-היסוד' של המחוקק בדיני צוואות אינו אלא מצווה לקיים דבר המת"; ד"נ 40/80 </w:t>
      </w:r>
      <w:r w:rsidRPr="00E75D83">
        <w:rPr>
          <w:b/>
          <w:bCs/>
          <w:sz w:val="20"/>
          <w:rtl/>
        </w:rPr>
        <w:t>קניג נ' כהן</w:t>
      </w:r>
      <w:r w:rsidRPr="00E75D83">
        <w:rPr>
          <w:sz w:val="20"/>
          <w:rtl/>
        </w:rPr>
        <w:t xml:space="preserve">, פ"ד לו(3) 701, 721–722 (1982); </w:t>
      </w:r>
      <w:r w:rsidRPr="00E75D83">
        <w:rPr>
          <w:rFonts w:hint="eastAsia"/>
          <w:sz w:val="20"/>
          <w:rtl/>
        </w:rPr>
        <w:t>שילה</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sidRPr="0070551B">
        <w:rPr>
          <w:sz w:val="20"/>
          <w:rtl/>
        </w:rPr>
        <w:fldChar w:fldCharType="begin"/>
      </w:r>
      <w:r w:rsidRPr="00E75D83">
        <w:rPr>
          <w:sz w:val="20"/>
          <w:rtl/>
        </w:rPr>
        <w:instrText xml:space="preserve"> </w:instrText>
      </w:r>
      <w:r w:rsidRPr="00E75D83">
        <w:rPr>
          <w:sz w:val="20"/>
        </w:rPr>
        <w:instrText>NOTEREF</w:instrText>
      </w:r>
      <w:r w:rsidRPr="00E75D83">
        <w:rPr>
          <w:sz w:val="20"/>
          <w:rtl/>
        </w:rPr>
        <w:instrText xml:space="preserve"> _</w:instrText>
      </w:r>
      <w:r w:rsidRPr="00E75D83">
        <w:rPr>
          <w:sz w:val="20"/>
        </w:rPr>
        <w:instrText>Ref497718369 \h</w:instrText>
      </w:r>
      <w:r w:rsidRPr="00E75D83">
        <w:rPr>
          <w:sz w:val="20"/>
          <w:rtl/>
        </w:rPr>
        <w:instrText xml:space="preserve"> </w:instrText>
      </w:r>
      <w:r>
        <w:rPr>
          <w:sz w:val="20"/>
          <w:rtl/>
        </w:rPr>
        <w:instrText xml:space="preserve"> \* </w:instrText>
      </w:r>
      <w:r>
        <w:rPr>
          <w:sz w:val="20"/>
        </w:rPr>
        <w:instrText>MERGEFORMAT</w:instrText>
      </w:r>
      <w:r>
        <w:rPr>
          <w:sz w:val="20"/>
          <w:rtl/>
        </w:rPr>
        <w:instrText xml:space="preserve"> </w:instrText>
      </w:r>
      <w:r w:rsidRPr="0070551B">
        <w:rPr>
          <w:sz w:val="20"/>
          <w:rtl/>
        </w:rPr>
      </w:r>
      <w:r w:rsidRPr="0070551B">
        <w:rPr>
          <w:sz w:val="20"/>
          <w:rtl/>
        </w:rPr>
        <w:fldChar w:fldCharType="separate"/>
      </w:r>
      <w:r>
        <w:rPr>
          <w:sz w:val="20"/>
          <w:rtl/>
        </w:rPr>
        <w:t>39</w:t>
      </w:r>
      <w:r w:rsidRPr="0070551B">
        <w:rPr>
          <w:sz w:val="20"/>
          <w:rtl/>
        </w:rPr>
        <w:fldChar w:fldCharType="end"/>
      </w:r>
      <w:r w:rsidRPr="00E75D83">
        <w:rPr>
          <w:sz w:val="20"/>
          <w:rtl/>
        </w:rPr>
        <w:t xml:space="preserve">, בעמ' 229–230. </w:t>
      </w:r>
    </w:p>
  </w:footnote>
  <w:footnote w:id="42">
    <w:p w14:paraId="1119C59C"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ע</w:t>
      </w:r>
      <w:r w:rsidRPr="00E75D83">
        <w:rPr>
          <w:sz w:val="20"/>
          <w:rtl/>
        </w:rPr>
        <w:t xml:space="preserve">"א 4660/94 </w:t>
      </w:r>
      <w:r w:rsidRPr="00E75D83">
        <w:rPr>
          <w:rFonts w:hint="eastAsia"/>
          <w:b/>
          <w:bCs/>
          <w:sz w:val="20"/>
          <w:rtl/>
        </w:rPr>
        <w:t>היועץ</w:t>
      </w:r>
      <w:r w:rsidRPr="00E75D83">
        <w:rPr>
          <w:b/>
          <w:bCs/>
          <w:sz w:val="20"/>
          <w:rtl/>
        </w:rPr>
        <w:t xml:space="preserve"> המשפטי לממשלה נ' </w:t>
      </w:r>
      <w:r w:rsidRPr="00E75D83">
        <w:rPr>
          <w:rFonts w:hint="eastAsia"/>
          <w:b/>
          <w:bCs/>
          <w:sz w:val="20"/>
          <w:rtl/>
        </w:rPr>
        <w:t>לישיצקי</w:t>
      </w:r>
      <w:r w:rsidRPr="00E75D83">
        <w:rPr>
          <w:sz w:val="20"/>
          <w:rtl/>
        </w:rPr>
        <w:t xml:space="preserve">, פ"ד </w:t>
      </w:r>
      <w:r w:rsidRPr="00E75D83">
        <w:rPr>
          <w:rFonts w:hint="eastAsia"/>
          <w:sz w:val="20"/>
          <w:rtl/>
        </w:rPr>
        <w:t>נה</w:t>
      </w:r>
      <w:r w:rsidRPr="00E75D83">
        <w:rPr>
          <w:sz w:val="20"/>
          <w:rtl/>
        </w:rPr>
        <w:t>(1) 88, 115 (1999).</w:t>
      </w:r>
    </w:p>
  </w:footnote>
  <w:footnote w:id="43">
    <w:p w14:paraId="24BEB389"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ע</w:t>
      </w:r>
      <w:r w:rsidRPr="00E75D83">
        <w:rPr>
          <w:sz w:val="20"/>
          <w:rtl/>
        </w:rPr>
        <w:t xml:space="preserve">"א 724/87 </w:t>
      </w:r>
      <w:r w:rsidRPr="00E75D83">
        <w:rPr>
          <w:rFonts w:hint="eastAsia"/>
          <w:b/>
          <w:bCs/>
          <w:sz w:val="20"/>
          <w:rtl/>
        </w:rPr>
        <w:t>כלפה</w:t>
      </w:r>
      <w:r w:rsidRPr="00E75D83">
        <w:rPr>
          <w:b/>
          <w:bCs/>
          <w:sz w:val="20"/>
          <w:rtl/>
        </w:rPr>
        <w:t xml:space="preserve"> (גולד) </w:t>
      </w:r>
      <w:r w:rsidRPr="00E75D83">
        <w:rPr>
          <w:rFonts w:hint="eastAsia"/>
          <w:b/>
          <w:bCs/>
          <w:sz w:val="20"/>
          <w:rtl/>
        </w:rPr>
        <w:t>נ</w:t>
      </w:r>
      <w:r w:rsidRPr="00E75D83">
        <w:rPr>
          <w:b/>
          <w:bCs/>
          <w:sz w:val="20"/>
          <w:rtl/>
        </w:rPr>
        <w:t xml:space="preserve">' </w:t>
      </w:r>
      <w:r w:rsidRPr="00E75D83">
        <w:rPr>
          <w:rFonts w:hint="eastAsia"/>
          <w:b/>
          <w:bCs/>
          <w:sz w:val="20"/>
          <w:rtl/>
        </w:rPr>
        <w:t>גולד</w:t>
      </w:r>
      <w:r w:rsidRPr="00E75D83">
        <w:rPr>
          <w:sz w:val="20"/>
          <w:rtl/>
        </w:rPr>
        <w:t xml:space="preserve">, פ"ד מח(1) 22, פס' 5 לפסק דינו של השופט מלץ (1993); ע"א 1212/91 </w:t>
      </w:r>
      <w:r w:rsidRPr="00E75D83">
        <w:rPr>
          <w:rFonts w:hint="eastAsia"/>
          <w:b/>
          <w:bCs/>
          <w:sz w:val="20"/>
          <w:rtl/>
        </w:rPr>
        <w:t>קרן</w:t>
      </w:r>
      <w:r w:rsidRPr="00E75D83">
        <w:rPr>
          <w:b/>
          <w:bCs/>
          <w:sz w:val="20"/>
          <w:rtl/>
        </w:rPr>
        <w:t xml:space="preserve"> לב"י נ' </w:t>
      </w:r>
      <w:r w:rsidRPr="00E75D83">
        <w:rPr>
          <w:rFonts w:hint="eastAsia"/>
          <w:b/>
          <w:bCs/>
          <w:sz w:val="20"/>
          <w:rtl/>
        </w:rPr>
        <w:t>בינשטוק</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מח</w:t>
      </w:r>
      <w:r w:rsidRPr="00E75D83">
        <w:rPr>
          <w:sz w:val="20"/>
          <w:rtl/>
        </w:rPr>
        <w:t>(3) 705, 732 (1994).</w:t>
      </w:r>
    </w:p>
  </w:footnote>
  <w:footnote w:id="44">
    <w:p w14:paraId="42FA5BA5"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רע</w:t>
      </w:r>
      <w:r w:rsidRPr="00E75D83">
        <w:rPr>
          <w:sz w:val="20"/>
          <w:rtl/>
        </w:rPr>
        <w:t xml:space="preserve">"א 5103/95 </w:t>
      </w:r>
      <w:r w:rsidRPr="00E75D83">
        <w:rPr>
          <w:rFonts w:hint="eastAsia"/>
          <w:b/>
          <w:bCs/>
          <w:sz w:val="20"/>
          <w:rtl/>
        </w:rPr>
        <w:t>דשת</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אליהו</w:t>
      </w:r>
      <w:r w:rsidRPr="00E75D83">
        <w:rPr>
          <w:sz w:val="20"/>
          <w:rtl/>
        </w:rPr>
        <w:t xml:space="preserve">, פ"ד </w:t>
      </w:r>
      <w:r w:rsidRPr="00E75D83">
        <w:rPr>
          <w:rFonts w:hint="eastAsia"/>
          <w:sz w:val="20"/>
          <w:rtl/>
        </w:rPr>
        <w:t>נג</w:t>
      </w:r>
      <w:r w:rsidRPr="00E75D83">
        <w:rPr>
          <w:sz w:val="20"/>
          <w:rtl/>
        </w:rPr>
        <w:t xml:space="preserve">(3) 97, </w:t>
      </w:r>
      <w:r w:rsidRPr="00E75D83">
        <w:rPr>
          <w:rFonts w:hint="eastAsia"/>
          <w:sz w:val="20"/>
          <w:rtl/>
        </w:rPr>
        <w:t>פס</w:t>
      </w:r>
      <w:r w:rsidRPr="00E75D83">
        <w:rPr>
          <w:sz w:val="20"/>
          <w:rtl/>
        </w:rPr>
        <w:t xml:space="preserve">' 10 </w:t>
      </w:r>
      <w:r w:rsidRPr="00E75D83">
        <w:rPr>
          <w:rFonts w:hint="eastAsia"/>
          <w:sz w:val="20"/>
          <w:rtl/>
        </w:rPr>
        <w:t>לפסק</w:t>
      </w:r>
      <w:r w:rsidRPr="00E75D83">
        <w:rPr>
          <w:sz w:val="20"/>
          <w:rtl/>
        </w:rPr>
        <w:t xml:space="preserve"> </w:t>
      </w:r>
      <w:r w:rsidRPr="00E75D83">
        <w:rPr>
          <w:rFonts w:hint="eastAsia"/>
          <w:sz w:val="20"/>
          <w:rtl/>
        </w:rPr>
        <w:t>דינו</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השופט</w:t>
      </w:r>
      <w:r w:rsidRPr="00E75D83">
        <w:rPr>
          <w:sz w:val="20"/>
          <w:rtl/>
        </w:rPr>
        <w:t xml:space="preserve"> </w:t>
      </w:r>
      <w:r w:rsidRPr="00E75D83">
        <w:rPr>
          <w:rFonts w:hint="eastAsia"/>
          <w:sz w:val="20"/>
          <w:rtl/>
        </w:rPr>
        <w:t>לוין</w:t>
      </w:r>
      <w:r w:rsidRPr="00E75D83">
        <w:rPr>
          <w:sz w:val="20"/>
          <w:rtl/>
        </w:rPr>
        <w:t xml:space="preserve"> (1999); </w:t>
      </w:r>
      <w:r w:rsidRPr="00E75D83">
        <w:rPr>
          <w:rFonts w:hint="eastAsia"/>
          <w:sz w:val="20"/>
          <w:rtl/>
        </w:rPr>
        <w:t>בע</w:t>
      </w:r>
      <w:r w:rsidRPr="00E75D83">
        <w:rPr>
          <w:sz w:val="20"/>
          <w:rtl/>
        </w:rPr>
        <w:t>"מ 6251/15</w:t>
      </w:r>
      <w:r w:rsidRPr="00E75D83">
        <w:rPr>
          <w:b/>
          <w:bCs/>
          <w:sz w:val="20"/>
          <w:rtl/>
        </w:rPr>
        <w:t xml:space="preserve"> הופה נ' </w:t>
      </w:r>
      <w:r w:rsidRPr="00E75D83">
        <w:rPr>
          <w:rFonts w:hint="eastAsia"/>
          <w:b/>
          <w:bCs/>
          <w:sz w:val="20"/>
          <w:rtl/>
        </w:rPr>
        <w:t>קסוטו</w:t>
      </w:r>
      <w:r w:rsidRPr="00E75D83">
        <w:rPr>
          <w:sz w:val="20"/>
          <w:rtl/>
        </w:rPr>
        <w:t xml:space="preserve">, פס' </w:t>
      </w:r>
      <w:r w:rsidRPr="00E75D83">
        <w:rPr>
          <w:rFonts w:hint="eastAsia"/>
          <w:sz w:val="20"/>
          <w:rtl/>
        </w:rPr>
        <w:t>מא</w:t>
      </w:r>
      <w:r w:rsidRPr="00E75D83">
        <w:rPr>
          <w:sz w:val="20"/>
          <w:rtl/>
        </w:rPr>
        <w:t xml:space="preserve"> לפסק דינו של השופט רובינשטיין (פורסם בנבו, 7.8.2016).</w:t>
      </w:r>
    </w:p>
  </w:footnote>
  <w:footnote w:id="45">
    <w:p w14:paraId="199AB0B8" w14:textId="7B2C4E34" w:rsidR="00063AE7" w:rsidRPr="00E75D83" w:rsidRDefault="00063AE7" w:rsidP="008D1913">
      <w:pPr>
        <w:pStyle w:val="a4"/>
        <w:jc w:val="both"/>
        <w:rPr>
          <w:sz w:val="20"/>
          <w:rtl/>
        </w:rPr>
      </w:pPr>
      <w:r w:rsidRPr="00E75D83">
        <w:rPr>
          <w:rStyle w:val="a3"/>
          <w:sz w:val="20"/>
        </w:rPr>
        <w:footnoteRef/>
      </w:r>
      <w:r w:rsidRPr="00E75D83">
        <w:rPr>
          <w:sz w:val="20"/>
          <w:rtl/>
        </w:rPr>
        <w:t xml:space="preserve"> </w:t>
      </w:r>
      <w:r w:rsidRPr="002573F0">
        <w:rPr>
          <w:rFonts w:hint="cs"/>
          <w:sz w:val="20"/>
          <w:rtl/>
        </w:rPr>
        <w:t xml:space="preserve">עניין </w:t>
      </w:r>
      <w:r w:rsidRPr="002573F0">
        <w:rPr>
          <w:rFonts w:hint="cs"/>
          <w:b/>
          <w:bCs/>
          <w:sz w:val="20"/>
          <w:rtl/>
        </w:rPr>
        <w:t>קרן לב"י</w:t>
      </w:r>
      <w:r w:rsidRPr="002573F0">
        <w:rPr>
          <w:rFonts w:hint="cs"/>
          <w:sz w:val="20"/>
          <w:rtl/>
        </w:rPr>
        <w:t>, לעיל ה"ש</w:t>
      </w:r>
      <w:r>
        <w:rPr>
          <w:rFonts w:hint="cs"/>
          <w:sz w:val="20"/>
          <w:rtl/>
        </w:rPr>
        <w:t xml:space="preserve"> 44</w:t>
      </w:r>
      <w:r w:rsidRPr="002573F0">
        <w:rPr>
          <w:rFonts w:hint="cs"/>
          <w:sz w:val="20"/>
          <w:rtl/>
        </w:rPr>
        <w:t xml:space="preserve">; ראו גם ע"א 851/79 </w:t>
      </w:r>
      <w:r w:rsidRPr="002573F0">
        <w:rPr>
          <w:rFonts w:hint="cs"/>
          <w:b/>
          <w:bCs/>
          <w:sz w:val="20"/>
          <w:rtl/>
        </w:rPr>
        <w:t>בנדל נ' בנדל</w:t>
      </w:r>
      <w:r w:rsidRPr="002573F0">
        <w:rPr>
          <w:rFonts w:hint="cs"/>
          <w:sz w:val="20"/>
          <w:rtl/>
        </w:rPr>
        <w:t>, פ"ד לה(3) 101, פס' 11 לפסק דינו של השופט ברק (1981) "</w:t>
      </w:r>
      <w:r w:rsidRPr="002573F0">
        <w:rPr>
          <w:sz w:val="20"/>
          <w:rtl/>
        </w:rPr>
        <w:t>אין לנו עניין כאן לא בתבונה ובסבירות של מעשי המנוח אף לא במידת ההומאניות שבהם</w:t>
      </w:r>
      <w:r w:rsidRPr="002573F0">
        <w:rPr>
          <w:rFonts w:hint="cs"/>
          <w:sz w:val="20"/>
          <w:rtl/>
        </w:rPr>
        <w:t xml:space="preserve">". </w:t>
      </w:r>
    </w:p>
  </w:footnote>
  <w:footnote w:id="46">
    <w:p w14:paraId="5E7A4C46" w14:textId="33CBF35C" w:rsidR="00063AE7" w:rsidRPr="00E75D83" w:rsidRDefault="00063AE7" w:rsidP="003C4683">
      <w:pPr>
        <w:pStyle w:val="a4"/>
        <w:jc w:val="both"/>
        <w:rPr>
          <w:sz w:val="20"/>
          <w:rtl/>
        </w:rPr>
      </w:pPr>
      <w:r w:rsidRPr="00E75D83">
        <w:rPr>
          <w:rStyle w:val="a3"/>
          <w:sz w:val="20"/>
        </w:rPr>
        <w:footnoteRef/>
      </w:r>
      <w:r w:rsidRPr="00E75D83">
        <w:rPr>
          <w:smallCaps/>
          <w:sz w:val="20"/>
          <w:rtl/>
        </w:rPr>
        <w:t xml:space="preserve"> </w:t>
      </w:r>
      <w:r>
        <w:rPr>
          <w:sz w:val="20"/>
        </w:rPr>
        <w:t>: "</w:t>
      </w:r>
      <w:r w:rsidRPr="00E75D83">
        <w:rPr>
          <w:sz w:val="20"/>
        </w:rPr>
        <w:t>Because rights are</w:t>
      </w:r>
      <w:r w:rsidRPr="00E75D83">
        <w:rPr>
          <w:sz w:val="20"/>
          <w:rtl/>
        </w:rPr>
        <w:t xml:space="preserve"> </w:t>
      </w:r>
      <w:r>
        <w:rPr>
          <w:rFonts w:hint="cs"/>
          <w:sz w:val="20"/>
          <w:rtl/>
        </w:rPr>
        <w:t>(1984)</w:t>
      </w:r>
      <w:r w:rsidRPr="00E75D83">
        <w:rPr>
          <w:sz w:val="20"/>
        </w:rPr>
        <w:t xml:space="preserve">John Leubsdorf, </w:t>
      </w:r>
      <w:r w:rsidRPr="00E75D83">
        <w:rPr>
          <w:i/>
          <w:iCs/>
          <w:sz w:val="20"/>
        </w:rPr>
        <w:t>Constitutional Civil Procedure</w:t>
      </w:r>
      <w:r w:rsidRPr="00E75D83">
        <w:rPr>
          <w:sz w:val="20"/>
        </w:rPr>
        <w:t xml:space="preserve">, 63 </w:t>
      </w:r>
      <w:r w:rsidRPr="00E75D83">
        <w:rPr>
          <w:smallCaps/>
          <w:sz w:val="20"/>
        </w:rPr>
        <w:t>Tex. L. Rev. 579, 591</w:t>
      </w:r>
      <w:r w:rsidRPr="00E75D83">
        <w:rPr>
          <w:sz w:val="20"/>
        </w:rPr>
        <w:t xml:space="preserve"> worthless without procedures to enforce them"</w:t>
      </w:r>
      <w:r w:rsidRPr="00E75D83">
        <w:rPr>
          <w:sz w:val="20"/>
          <w:rtl/>
        </w:rPr>
        <w:t xml:space="preserve">"; כפי שציין השופט גרוניס בעניין 1480/04 </w:t>
      </w:r>
      <w:r w:rsidRPr="00E75D83">
        <w:rPr>
          <w:b/>
          <w:bCs/>
          <w:sz w:val="20"/>
          <w:rtl/>
        </w:rPr>
        <w:t>מליבו ישראל בע"מ נ' מדינת ישראל</w:t>
      </w:r>
      <w:r w:rsidRPr="00E75D83">
        <w:rPr>
          <w:sz w:val="20"/>
          <w:rtl/>
        </w:rPr>
        <w:t xml:space="preserve">, </w:t>
      </w:r>
      <w:r w:rsidRPr="00E75D83">
        <w:rPr>
          <w:spacing w:val="10"/>
          <w:sz w:val="20"/>
          <w:rtl/>
        </w:rPr>
        <w:t xml:space="preserve">פס' 16 לפסק </w:t>
      </w:r>
      <w:r w:rsidR="00094CD0">
        <w:rPr>
          <w:rFonts w:hint="cs"/>
          <w:spacing w:val="10"/>
          <w:sz w:val="20"/>
          <w:rtl/>
        </w:rPr>
        <w:t xml:space="preserve">דינו של השופט </w:t>
      </w:r>
      <w:proofErr w:type="spellStart"/>
      <w:r w:rsidR="00094CD0">
        <w:rPr>
          <w:rFonts w:hint="cs"/>
          <w:spacing w:val="10"/>
          <w:sz w:val="20"/>
          <w:rtl/>
        </w:rPr>
        <w:t>גרוניס</w:t>
      </w:r>
      <w:proofErr w:type="spellEnd"/>
      <w:r w:rsidRPr="00E75D83">
        <w:rPr>
          <w:spacing w:val="10"/>
          <w:sz w:val="20"/>
          <w:rtl/>
        </w:rPr>
        <w:t xml:space="preserve"> (פורסם בנבו, 17.9.2006): "בהיעדר אפשרות לפנות לבית המשפט, לא יוכל אדם לזכות בסעד בגין פגיעה באיזו מזכויותיו המהותיות, וממילא לא תהא משמעות אפקטיבית לזכויות אל</w:t>
      </w:r>
      <w:r w:rsidRPr="00E75D83">
        <w:rPr>
          <w:rFonts w:hint="eastAsia"/>
          <w:spacing w:val="10"/>
          <w:sz w:val="20"/>
          <w:rtl/>
        </w:rPr>
        <w:t>ה</w:t>
      </w:r>
      <w:r w:rsidRPr="00E75D83">
        <w:rPr>
          <w:sz w:val="20"/>
          <w:rtl/>
        </w:rPr>
        <w:t>".</w:t>
      </w:r>
    </w:p>
  </w:footnote>
  <w:footnote w:id="47">
    <w:p w14:paraId="14CCF392" w14:textId="77777777" w:rsidR="00063AE7" w:rsidRPr="00E75D83" w:rsidRDefault="00063AE7" w:rsidP="00466198">
      <w:pPr>
        <w:pStyle w:val="a4"/>
        <w:jc w:val="both"/>
        <w:rPr>
          <w:sz w:val="20"/>
        </w:rPr>
      </w:pPr>
      <w:r w:rsidRPr="00E75D83">
        <w:rPr>
          <w:rStyle w:val="a3"/>
          <w:sz w:val="20"/>
        </w:rPr>
        <w:footnoteRef/>
      </w:r>
      <w:r w:rsidRPr="00E75D83">
        <w:rPr>
          <w:sz w:val="20"/>
          <w:rtl/>
        </w:rPr>
        <w:t xml:space="preserve"> </w:t>
      </w:r>
      <w:r w:rsidRPr="00E75D83">
        <w:rPr>
          <w:rFonts w:hint="eastAsia"/>
          <w:sz w:val="20"/>
          <w:rtl/>
        </w:rPr>
        <w:t>ברק</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Ref497718045 \h</w:instrText>
      </w:r>
      <w:r>
        <w:rPr>
          <w:sz w:val="20"/>
          <w:rtl/>
        </w:rPr>
        <w:instrText xml:space="preserve"> </w:instrText>
      </w:r>
      <w:r>
        <w:rPr>
          <w:sz w:val="20"/>
          <w:rtl/>
        </w:rPr>
      </w:r>
      <w:r>
        <w:rPr>
          <w:sz w:val="20"/>
          <w:rtl/>
        </w:rPr>
        <w:fldChar w:fldCharType="separate"/>
      </w:r>
      <w:r>
        <w:rPr>
          <w:sz w:val="20"/>
          <w:rtl/>
        </w:rPr>
        <w:t>7</w:t>
      </w:r>
      <w:r>
        <w:rPr>
          <w:sz w:val="20"/>
          <w:rtl/>
        </w:rPr>
        <w:fldChar w:fldCharType="end"/>
      </w:r>
      <w:r w:rsidRPr="00E75D83">
        <w:rPr>
          <w:sz w:val="20"/>
          <w:rtl/>
        </w:rPr>
        <w:t xml:space="preserve">, </w:t>
      </w:r>
      <w:r w:rsidRPr="00E75D83">
        <w:rPr>
          <w:rFonts w:hint="eastAsia"/>
          <w:sz w:val="20"/>
          <w:rtl/>
        </w:rPr>
        <w:t>בעמ</w:t>
      </w:r>
      <w:r w:rsidRPr="00E75D83">
        <w:rPr>
          <w:sz w:val="20"/>
          <w:rtl/>
        </w:rPr>
        <w:t xml:space="preserve">' 34. </w:t>
      </w:r>
      <w:r>
        <w:rPr>
          <w:rFonts w:hint="cs"/>
          <w:sz w:val="20"/>
        </w:rPr>
        <w:t xml:space="preserve"> </w:t>
      </w:r>
    </w:p>
  </w:footnote>
  <w:footnote w:id="48">
    <w:p w14:paraId="15A8EF39" w14:textId="77777777" w:rsidR="00063AE7" w:rsidRPr="00E75D83" w:rsidRDefault="00063AE7" w:rsidP="00466198">
      <w:pPr>
        <w:pStyle w:val="a4"/>
        <w:jc w:val="both"/>
        <w:rPr>
          <w:sz w:val="20"/>
        </w:rPr>
      </w:pPr>
      <w:r w:rsidRPr="00E75D83">
        <w:rPr>
          <w:rStyle w:val="a3"/>
          <w:sz w:val="20"/>
        </w:rPr>
        <w:footnoteRef/>
      </w:r>
      <w:r w:rsidRPr="00E75D83">
        <w:rPr>
          <w:sz w:val="20"/>
          <w:rtl/>
        </w:rPr>
        <w:t xml:space="preserve"> </w:t>
      </w:r>
      <w:r w:rsidRPr="00E75D83">
        <w:rPr>
          <w:rFonts w:hint="eastAsia"/>
          <w:sz w:val="20"/>
          <w:rtl/>
        </w:rPr>
        <w:t>רבין</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Ref497718045 \h</w:instrText>
      </w:r>
      <w:r>
        <w:rPr>
          <w:sz w:val="20"/>
          <w:rtl/>
        </w:rPr>
        <w:instrText xml:space="preserve"> </w:instrText>
      </w:r>
      <w:r>
        <w:rPr>
          <w:sz w:val="20"/>
          <w:rtl/>
        </w:rPr>
      </w:r>
      <w:r>
        <w:rPr>
          <w:sz w:val="20"/>
          <w:rtl/>
        </w:rPr>
        <w:fldChar w:fldCharType="separate"/>
      </w:r>
      <w:r>
        <w:rPr>
          <w:sz w:val="20"/>
          <w:rtl/>
        </w:rPr>
        <w:t>7</w:t>
      </w:r>
      <w:r>
        <w:rPr>
          <w:sz w:val="20"/>
          <w:rtl/>
        </w:rPr>
        <w:fldChar w:fldCharType="end"/>
      </w:r>
      <w:r w:rsidRPr="00E75D83">
        <w:rPr>
          <w:sz w:val="20"/>
          <w:rtl/>
        </w:rPr>
        <w:t xml:space="preserve">, בעמ' 25; צוטט בהסכמה </w:t>
      </w:r>
      <w:r w:rsidRPr="00E75D83">
        <w:rPr>
          <w:rFonts w:hint="eastAsia"/>
          <w:sz w:val="20"/>
          <w:rtl/>
        </w:rPr>
        <w:t>ברע</w:t>
      </w:r>
      <w:r w:rsidRPr="00E75D83">
        <w:rPr>
          <w:sz w:val="20"/>
          <w:rtl/>
        </w:rPr>
        <w:t xml:space="preserve">"א 2142/13 </w:t>
      </w:r>
      <w:r w:rsidRPr="00E75D83">
        <w:rPr>
          <w:rFonts w:hint="eastAsia"/>
          <w:b/>
          <w:bCs/>
          <w:sz w:val="20"/>
          <w:rtl/>
        </w:rPr>
        <w:t>נעמאת</w:t>
      </w:r>
      <w:r w:rsidRPr="00E75D83">
        <w:rPr>
          <w:b/>
          <w:bCs/>
          <w:sz w:val="20"/>
          <w:rtl/>
        </w:rPr>
        <w:t xml:space="preserve"> נ' </w:t>
      </w:r>
      <w:r w:rsidRPr="00E75D83">
        <w:rPr>
          <w:rFonts w:hint="eastAsia"/>
          <w:b/>
          <w:bCs/>
          <w:sz w:val="20"/>
          <w:rtl/>
        </w:rPr>
        <w:t>קרמין</w:t>
      </w:r>
      <w:r w:rsidRPr="00E75D83">
        <w:rPr>
          <w:sz w:val="20"/>
          <w:rtl/>
        </w:rPr>
        <w:t xml:space="preserve">, פס' 6 </w:t>
      </w:r>
      <w:r w:rsidRPr="00E75D83">
        <w:rPr>
          <w:rFonts w:hint="eastAsia"/>
          <w:sz w:val="20"/>
          <w:rtl/>
        </w:rPr>
        <w:t>לפסק</w:t>
      </w:r>
      <w:r w:rsidRPr="00E75D83">
        <w:rPr>
          <w:sz w:val="20"/>
          <w:rtl/>
        </w:rPr>
        <w:t xml:space="preserve"> </w:t>
      </w:r>
      <w:r w:rsidRPr="00E75D83">
        <w:rPr>
          <w:rFonts w:hint="eastAsia"/>
          <w:sz w:val="20"/>
          <w:rtl/>
        </w:rPr>
        <w:t>דינו</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השופט</w:t>
      </w:r>
      <w:r w:rsidRPr="00E75D83">
        <w:rPr>
          <w:sz w:val="20"/>
          <w:rtl/>
        </w:rPr>
        <w:t xml:space="preserve"> </w:t>
      </w:r>
      <w:r w:rsidRPr="00E75D83">
        <w:rPr>
          <w:rFonts w:hint="eastAsia"/>
          <w:sz w:val="20"/>
          <w:rtl/>
        </w:rPr>
        <w:t>הנדל</w:t>
      </w:r>
      <w:r w:rsidRPr="00E75D83">
        <w:rPr>
          <w:sz w:val="20"/>
          <w:rtl/>
        </w:rPr>
        <w:t xml:space="preserve"> (פורסם </w:t>
      </w:r>
      <w:r w:rsidRPr="00E75D83">
        <w:rPr>
          <w:rFonts w:hint="eastAsia"/>
          <w:sz w:val="20"/>
          <w:rtl/>
        </w:rPr>
        <w:t>בנבו</w:t>
      </w:r>
      <w:r w:rsidRPr="00E75D83">
        <w:rPr>
          <w:sz w:val="20"/>
          <w:rtl/>
        </w:rPr>
        <w:t>, 13.11.2014)</w:t>
      </w:r>
      <w:r w:rsidRPr="00E75D83">
        <w:rPr>
          <w:b/>
          <w:bCs/>
          <w:sz w:val="20"/>
          <w:rtl/>
        </w:rPr>
        <w:t xml:space="preserve">; </w:t>
      </w:r>
      <w:r w:rsidRPr="00E75D83">
        <w:rPr>
          <w:rFonts w:hint="eastAsia"/>
          <w:sz w:val="20"/>
          <w:rtl/>
        </w:rPr>
        <w:t>לעניין</w:t>
      </w:r>
      <w:r w:rsidRPr="00E75D83">
        <w:rPr>
          <w:sz w:val="20"/>
          <w:rtl/>
        </w:rPr>
        <w:t xml:space="preserve"> </w:t>
      </w:r>
      <w:r w:rsidRPr="00E75D83">
        <w:rPr>
          <w:rFonts w:hint="eastAsia"/>
          <w:sz w:val="20"/>
          <w:rtl/>
        </w:rPr>
        <w:t>היקף</w:t>
      </w:r>
      <w:r w:rsidRPr="00E75D83">
        <w:rPr>
          <w:sz w:val="20"/>
          <w:rtl/>
        </w:rPr>
        <w:t xml:space="preserve"> </w:t>
      </w:r>
      <w:r w:rsidRPr="00E75D83">
        <w:rPr>
          <w:rFonts w:hint="eastAsia"/>
          <w:sz w:val="20"/>
          <w:rtl/>
        </w:rPr>
        <w:t>הזכות</w:t>
      </w:r>
      <w:r w:rsidRPr="00E75D83">
        <w:rPr>
          <w:sz w:val="20"/>
          <w:rtl/>
        </w:rPr>
        <w:t xml:space="preserve">, </w:t>
      </w:r>
      <w:r w:rsidRPr="00E75D83">
        <w:rPr>
          <w:rFonts w:hint="eastAsia"/>
          <w:sz w:val="20"/>
          <w:rtl/>
        </w:rPr>
        <w:t>יש</w:t>
      </w:r>
      <w:r w:rsidRPr="00E75D83">
        <w:rPr>
          <w:sz w:val="20"/>
          <w:rtl/>
        </w:rPr>
        <w:t xml:space="preserve"> </w:t>
      </w:r>
      <w:r w:rsidRPr="00E75D83">
        <w:rPr>
          <w:rFonts w:hint="eastAsia"/>
          <w:sz w:val="20"/>
          <w:rtl/>
        </w:rPr>
        <w:t>המרחיבים</w:t>
      </w:r>
      <w:r w:rsidRPr="00E75D83">
        <w:rPr>
          <w:sz w:val="20"/>
          <w:rtl/>
        </w:rPr>
        <w:t xml:space="preserve"> </w:t>
      </w:r>
      <w:r w:rsidRPr="00E75D83">
        <w:rPr>
          <w:rFonts w:hint="eastAsia"/>
          <w:sz w:val="20"/>
          <w:rtl/>
        </w:rPr>
        <w:t>ויש</w:t>
      </w:r>
      <w:r w:rsidRPr="00E75D83">
        <w:rPr>
          <w:sz w:val="20"/>
          <w:rtl/>
        </w:rPr>
        <w:t xml:space="preserve"> </w:t>
      </w:r>
      <w:r w:rsidRPr="00E75D83">
        <w:rPr>
          <w:rFonts w:hint="eastAsia"/>
          <w:sz w:val="20"/>
          <w:rtl/>
        </w:rPr>
        <w:t>המצרים</w:t>
      </w:r>
      <w:r w:rsidRPr="00E75D83">
        <w:rPr>
          <w:sz w:val="20"/>
          <w:rtl/>
        </w:rPr>
        <w:t>,</w:t>
      </w:r>
      <w:r w:rsidRPr="00E75D83">
        <w:rPr>
          <w:b/>
          <w:bCs/>
          <w:sz w:val="20"/>
          <w:rtl/>
        </w:rPr>
        <w:t xml:space="preserve"> </w:t>
      </w:r>
      <w:r w:rsidRPr="00E75D83">
        <w:rPr>
          <w:rFonts w:hint="eastAsia"/>
          <w:sz w:val="20"/>
          <w:rtl/>
        </w:rPr>
        <w:t>ראו</w:t>
      </w:r>
      <w:r w:rsidRPr="00E75D83">
        <w:rPr>
          <w:sz w:val="20"/>
          <w:rtl/>
        </w:rPr>
        <w:t xml:space="preserve"> </w:t>
      </w:r>
      <w:r w:rsidRPr="00E75D83">
        <w:rPr>
          <w:rFonts w:hint="eastAsia"/>
          <w:sz w:val="20"/>
          <w:rtl/>
        </w:rPr>
        <w:t>והשוו</w:t>
      </w:r>
      <w:r w:rsidRPr="00E75D83">
        <w:rPr>
          <w:sz w:val="20"/>
          <w:rtl/>
        </w:rPr>
        <w:t xml:space="preserve"> </w:t>
      </w:r>
      <w:r w:rsidRPr="00E75D83">
        <w:rPr>
          <w:rFonts w:hint="eastAsia"/>
          <w:sz w:val="20"/>
          <w:rtl/>
        </w:rPr>
        <w:t>ברק</w:t>
      </w:r>
      <w:r w:rsidRPr="00E75D83">
        <w:rPr>
          <w:sz w:val="20"/>
          <w:rtl/>
        </w:rPr>
        <w:t xml:space="preserve">,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rFonts w:hint="cs"/>
          <w:sz w:val="20"/>
        </w:rPr>
        <w:instrText>NOTEREF</w:instrText>
      </w:r>
      <w:r>
        <w:rPr>
          <w:rFonts w:hint="cs"/>
          <w:sz w:val="20"/>
          <w:rtl/>
        </w:rPr>
        <w:instrText xml:space="preserve"> _</w:instrText>
      </w:r>
      <w:r>
        <w:rPr>
          <w:rFonts w:hint="cs"/>
          <w:sz w:val="20"/>
        </w:rPr>
        <w:instrText>Ref497718045 \h</w:instrText>
      </w:r>
      <w:r>
        <w:rPr>
          <w:sz w:val="20"/>
          <w:rtl/>
        </w:rPr>
        <w:instrText xml:space="preserve"> </w:instrText>
      </w:r>
      <w:r>
        <w:rPr>
          <w:sz w:val="20"/>
          <w:rtl/>
        </w:rPr>
      </w:r>
      <w:r>
        <w:rPr>
          <w:sz w:val="20"/>
          <w:rtl/>
        </w:rPr>
        <w:fldChar w:fldCharType="separate"/>
      </w:r>
      <w:r>
        <w:rPr>
          <w:sz w:val="20"/>
          <w:rtl/>
        </w:rPr>
        <w:t>7</w:t>
      </w:r>
      <w:r>
        <w:rPr>
          <w:sz w:val="20"/>
          <w:rtl/>
        </w:rPr>
        <w:fldChar w:fldCharType="end"/>
      </w:r>
      <w:r>
        <w:rPr>
          <w:rFonts w:hint="cs"/>
          <w:sz w:val="20"/>
          <w:rtl/>
        </w:rPr>
        <w:t>,</w:t>
      </w:r>
      <w:r w:rsidRPr="00E75D83">
        <w:rPr>
          <w:sz w:val="20"/>
          <w:rtl/>
        </w:rPr>
        <w:t xml:space="preserve"> </w:t>
      </w:r>
      <w:r w:rsidRPr="00E75D83">
        <w:rPr>
          <w:rFonts w:hint="eastAsia"/>
          <w:sz w:val="20"/>
          <w:rtl/>
        </w:rPr>
        <w:t>בעמ</w:t>
      </w:r>
      <w:r w:rsidRPr="00E75D83">
        <w:rPr>
          <w:sz w:val="20"/>
          <w:rtl/>
        </w:rPr>
        <w:t xml:space="preserve">' 32; לוין </w:t>
      </w:r>
      <w:r w:rsidRPr="00E75D83">
        <w:rPr>
          <w:rFonts w:hint="eastAsia"/>
          <w:b/>
          <w:bCs/>
          <w:sz w:val="20"/>
          <w:rtl/>
        </w:rPr>
        <w:t>תורת</w:t>
      </w:r>
      <w:r w:rsidRPr="00E75D83">
        <w:rPr>
          <w:b/>
          <w:bCs/>
          <w:sz w:val="20"/>
          <w:rtl/>
        </w:rPr>
        <w:t xml:space="preserve"> הפרוצדורה </w:t>
      </w:r>
      <w:r w:rsidRPr="00E75D83">
        <w:rPr>
          <w:rFonts w:hint="eastAsia"/>
          <w:b/>
          <w:bCs/>
          <w:sz w:val="20"/>
          <w:rtl/>
        </w:rPr>
        <w:t>האזרחית</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Ref497718645 \h</w:instrText>
      </w:r>
      <w:r>
        <w:rPr>
          <w:sz w:val="20"/>
          <w:rtl/>
        </w:rPr>
        <w:instrText xml:space="preserve"> </w:instrText>
      </w:r>
      <w:r>
        <w:rPr>
          <w:sz w:val="20"/>
          <w:rtl/>
        </w:rPr>
      </w:r>
      <w:r>
        <w:rPr>
          <w:sz w:val="20"/>
          <w:rtl/>
        </w:rPr>
        <w:fldChar w:fldCharType="separate"/>
      </w:r>
      <w:r>
        <w:rPr>
          <w:sz w:val="20"/>
          <w:rtl/>
        </w:rPr>
        <w:t>10</w:t>
      </w:r>
      <w:r>
        <w:rPr>
          <w:sz w:val="20"/>
          <w:rtl/>
        </w:rPr>
        <w:fldChar w:fldCharType="end"/>
      </w:r>
      <w:r w:rsidRPr="00E75D83">
        <w:rPr>
          <w:sz w:val="20"/>
          <w:rtl/>
        </w:rPr>
        <w:t>.</w:t>
      </w:r>
    </w:p>
  </w:footnote>
  <w:footnote w:id="49">
    <w:p w14:paraId="0CEE269E"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ע</w:t>
      </w:r>
      <w:r w:rsidRPr="00E75D83">
        <w:rPr>
          <w:sz w:val="20"/>
          <w:rtl/>
        </w:rPr>
        <w:t xml:space="preserve">"א 733/95 </w:t>
      </w:r>
      <w:r w:rsidRPr="00E75D83">
        <w:rPr>
          <w:rFonts w:hint="eastAsia"/>
          <w:b/>
          <w:bCs/>
          <w:sz w:val="20"/>
          <w:rtl/>
        </w:rPr>
        <w:t>ארפל</w:t>
      </w:r>
      <w:r w:rsidRPr="00E75D83">
        <w:rPr>
          <w:b/>
          <w:bCs/>
          <w:sz w:val="20"/>
          <w:rtl/>
        </w:rPr>
        <w:t xml:space="preserve"> אלומיניום בע"מ נ' קליל תעשיות בע"מ</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נא</w:t>
      </w:r>
      <w:r w:rsidRPr="00E75D83">
        <w:rPr>
          <w:sz w:val="20"/>
          <w:rtl/>
        </w:rPr>
        <w:t>(3) 577, 629 (1997).</w:t>
      </w:r>
    </w:p>
  </w:footnote>
  <w:footnote w:id="50">
    <w:p w14:paraId="274C24C3" w14:textId="791DFE28" w:rsidR="00063AE7" w:rsidRPr="00E75D83" w:rsidRDefault="00063AE7" w:rsidP="00100020">
      <w:pPr>
        <w:pStyle w:val="a4"/>
        <w:jc w:val="both"/>
        <w:rPr>
          <w:sz w:val="20"/>
        </w:rPr>
      </w:pPr>
      <w:r w:rsidRPr="00E75D83">
        <w:rPr>
          <w:rStyle w:val="a3"/>
          <w:sz w:val="20"/>
        </w:rPr>
        <w:footnoteRef/>
      </w:r>
      <w:r w:rsidRPr="00E75D83">
        <w:rPr>
          <w:sz w:val="20"/>
          <w:rtl/>
        </w:rPr>
        <w:t xml:space="preserve"> </w:t>
      </w:r>
      <w:r w:rsidRPr="00E75D83">
        <w:rPr>
          <w:sz w:val="20"/>
          <w:rtl/>
        </w:rPr>
        <w:t xml:space="preserve">זכות הגישה תוארה בפסיקה כ"זכות קונסטיטוציונית" וכ"זכות יסוד שאינה כתובה עלי חוק-יסוד", </w:t>
      </w:r>
      <w:r w:rsidRPr="00E75D83">
        <w:rPr>
          <w:rFonts w:hint="eastAsia"/>
          <w:sz w:val="20"/>
          <w:rtl/>
        </w:rPr>
        <w:t>ראו</w:t>
      </w:r>
      <w:r w:rsidRPr="00E75D83">
        <w:rPr>
          <w:sz w:val="20"/>
          <w:rtl/>
        </w:rPr>
        <w:t xml:space="preserve">: </w:t>
      </w:r>
      <w:r w:rsidRPr="00E75D83">
        <w:rPr>
          <w:rFonts w:hint="eastAsia"/>
          <w:sz w:val="20"/>
          <w:rtl/>
        </w:rPr>
        <w:t>אורגד</w:t>
      </w:r>
      <w:r w:rsidRPr="00E75D83">
        <w:rPr>
          <w:sz w:val="20"/>
          <w:rtl/>
        </w:rPr>
        <w:t xml:space="preserve"> </w:t>
      </w:r>
      <w:r w:rsidRPr="00E75D83">
        <w:rPr>
          <w:rFonts w:hint="eastAsia"/>
          <w:sz w:val="20"/>
          <w:rtl/>
        </w:rPr>
        <w:t>ו</w:t>
      </w:r>
      <w:r w:rsidRPr="00E75D83">
        <w:rPr>
          <w:sz w:val="20"/>
          <w:rtl/>
        </w:rPr>
        <w:t xml:space="preserve">רבין,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Ref497718896 \h</w:instrText>
      </w:r>
      <w:r>
        <w:rPr>
          <w:sz w:val="20"/>
          <w:rtl/>
        </w:rPr>
        <w:instrText xml:space="preserve"> </w:instrText>
      </w:r>
      <w:r>
        <w:rPr>
          <w:sz w:val="20"/>
          <w:rtl/>
        </w:rPr>
      </w:r>
      <w:r>
        <w:rPr>
          <w:sz w:val="20"/>
          <w:rtl/>
        </w:rPr>
        <w:fldChar w:fldCharType="separate"/>
      </w:r>
      <w:r>
        <w:rPr>
          <w:sz w:val="20"/>
          <w:rtl/>
        </w:rPr>
        <w:t>11</w:t>
      </w:r>
      <w:r>
        <w:rPr>
          <w:sz w:val="20"/>
          <w:rtl/>
        </w:rPr>
        <w:fldChar w:fldCharType="end"/>
      </w:r>
      <w:r w:rsidRPr="00E75D83">
        <w:rPr>
          <w:sz w:val="20"/>
          <w:rtl/>
        </w:rPr>
        <w:t xml:space="preserve">, בעמ' 475, והאסמכתאות המופיעות שם. ראו גם רע"א 7608/99 </w:t>
      </w:r>
      <w:r w:rsidRPr="00E75D83">
        <w:rPr>
          <w:b/>
          <w:bCs/>
          <w:sz w:val="20"/>
          <w:rtl/>
        </w:rPr>
        <w:t>לוקי ביצוע פרוייקטים (בנייה) 1989 בע"מ נ' מצפה כינרת 1995 בע"מ</w:t>
      </w:r>
      <w:r w:rsidRPr="00E75D83">
        <w:rPr>
          <w:sz w:val="20"/>
          <w:rtl/>
        </w:rPr>
        <w:t xml:space="preserve">, פ"ד נו(5) 156, 163 (2002); רע"א 9572/01 </w:t>
      </w:r>
      <w:r w:rsidRPr="00E75D83">
        <w:rPr>
          <w:rFonts w:hint="eastAsia"/>
          <w:b/>
          <w:bCs/>
          <w:sz w:val="20"/>
          <w:rtl/>
        </w:rPr>
        <w:t>דדון</w:t>
      </w:r>
      <w:r w:rsidRPr="00E75D83">
        <w:rPr>
          <w:b/>
          <w:bCs/>
          <w:sz w:val="20"/>
          <w:rtl/>
        </w:rPr>
        <w:t xml:space="preserve"> נ' וייסברג</w:t>
      </w:r>
      <w:r w:rsidRPr="00E75D83">
        <w:rPr>
          <w:sz w:val="20"/>
          <w:rtl/>
        </w:rPr>
        <w:t xml:space="preserve">, פ"ד נו(6) 918, 921 (2002); ע"א 4980/01 </w:t>
      </w:r>
      <w:r w:rsidRPr="00E75D83">
        <w:rPr>
          <w:rFonts w:hint="eastAsia"/>
          <w:b/>
          <w:bCs/>
          <w:sz w:val="20"/>
          <w:rtl/>
        </w:rPr>
        <w:t>כהן</w:t>
      </w:r>
      <w:r w:rsidRPr="00E75D83">
        <w:rPr>
          <w:b/>
          <w:bCs/>
          <w:sz w:val="20"/>
          <w:rtl/>
        </w:rPr>
        <w:t xml:space="preserve"> נ' </w:t>
      </w:r>
      <w:r w:rsidRPr="00E75D83">
        <w:rPr>
          <w:rFonts w:hint="eastAsia"/>
          <w:b/>
          <w:bCs/>
          <w:sz w:val="20"/>
          <w:rtl/>
        </w:rPr>
        <w:t>גלאם</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נח</w:t>
      </w:r>
      <w:r w:rsidRPr="00E75D83">
        <w:rPr>
          <w:sz w:val="20"/>
          <w:rtl/>
        </w:rPr>
        <w:t xml:space="preserve">(5) 625, 629 (2004); ע"א 6805/99 </w:t>
      </w:r>
      <w:r w:rsidRPr="00E75D83">
        <w:rPr>
          <w:rFonts w:hint="eastAsia"/>
          <w:b/>
          <w:bCs/>
          <w:sz w:val="20"/>
          <w:rtl/>
        </w:rPr>
        <w:t>תלמוד</w:t>
      </w:r>
      <w:r w:rsidRPr="00E75D83">
        <w:rPr>
          <w:b/>
          <w:bCs/>
          <w:sz w:val="20"/>
          <w:rtl/>
        </w:rPr>
        <w:t xml:space="preserve"> </w:t>
      </w:r>
      <w:r w:rsidRPr="00E75D83">
        <w:rPr>
          <w:rFonts w:hint="eastAsia"/>
          <w:b/>
          <w:bCs/>
          <w:sz w:val="20"/>
          <w:rtl/>
        </w:rPr>
        <w:t>תורה</w:t>
      </w:r>
      <w:r w:rsidRPr="00E75D83">
        <w:rPr>
          <w:b/>
          <w:bCs/>
          <w:sz w:val="20"/>
          <w:rtl/>
        </w:rPr>
        <w:t xml:space="preserve"> </w:t>
      </w:r>
      <w:r w:rsidRPr="00E75D83">
        <w:rPr>
          <w:rFonts w:hint="eastAsia"/>
          <w:b/>
          <w:bCs/>
          <w:sz w:val="20"/>
          <w:rtl/>
        </w:rPr>
        <w:t>הכללי</w:t>
      </w:r>
      <w:r w:rsidRPr="00E75D83">
        <w:rPr>
          <w:b/>
          <w:bCs/>
          <w:sz w:val="20"/>
          <w:rtl/>
        </w:rPr>
        <w:t xml:space="preserve"> </w:t>
      </w:r>
      <w:r w:rsidRPr="00E75D83">
        <w:rPr>
          <w:rFonts w:hint="eastAsia"/>
          <w:b/>
          <w:bCs/>
          <w:sz w:val="20"/>
          <w:rtl/>
        </w:rPr>
        <w:t>והישיבה</w:t>
      </w:r>
      <w:r w:rsidRPr="00E75D83">
        <w:rPr>
          <w:b/>
          <w:bCs/>
          <w:sz w:val="20"/>
          <w:rtl/>
        </w:rPr>
        <w:t xml:space="preserve"> </w:t>
      </w:r>
      <w:r w:rsidRPr="00E75D83">
        <w:rPr>
          <w:rFonts w:hint="eastAsia"/>
          <w:b/>
          <w:bCs/>
          <w:sz w:val="20"/>
          <w:rtl/>
        </w:rPr>
        <w:t>הגדולה</w:t>
      </w:r>
      <w:r w:rsidRPr="00E75D83">
        <w:rPr>
          <w:b/>
          <w:bCs/>
          <w:sz w:val="20"/>
          <w:rtl/>
        </w:rPr>
        <w:t xml:space="preserve"> </w:t>
      </w:r>
      <w:r w:rsidRPr="00E75D83">
        <w:rPr>
          <w:rFonts w:hint="eastAsia"/>
          <w:b/>
          <w:bCs/>
          <w:sz w:val="20"/>
          <w:rtl/>
        </w:rPr>
        <w:t>עץ</w:t>
      </w:r>
      <w:r w:rsidRPr="00E75D83">
        <w:rPr>
          <w:b/>
          <w:bCs/>
          <w:sz w:val="20"/>
          <w:rtl/>
        </w:rPr>
        <w:t xml:space="preserve"> </w:t>
      </w:r>
      <w:r w:rsidRPr="00E75D83">
        <w:rPr>
          <w:rFonts w:hint="eastAsia"/>
          <w:b/>
          <w:bCs/>
          <w:sz w:val="20"/>
          <w:rtl/>
        </w:rPr>
        <w:t>חיים</w:t>
      </w:r>
      <w:r w:rsidRPr="00E75D83">
        <w:rPr>
          <w:b/>
          <w:bCs/>
          <w:sz w:val="20"/>
          <w:rtl/>
        </w:rPr>
        <w:t xml:space="preserve"> </w:t>
      </w:r>
      <w:r w:rsidRPr="00E75D83">
        <w:rPr>
          <w:rFonts w:hint="eastAsia"/>
          <w:b/>
          <w:bCs/>
          <w:sz w:val="20"/>
          <w:rtl/>
        </w:rPr>
        <w:t>בירושלים</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הועדה</w:t>
      </w:r>
      <w:r w:rsidRPr="00E75D83">
        <w:rPr>
          <w:b/>
          <w:bCs/>
          <w:sz w:val="20"/>
          <w:rtl/>
        </w:rPr>
        <w:t xml:space="preserve"> </w:t>
      </w:r>
      <w:r w:rsidRPr="00E75D83">
        <w:rPr>
          <w:rFonts w:hint="eastAsia"/>
          <w:b/>
          <w:bCs/>
          <w:sz w:val="20"/>
          <w:rtl/>
        </w:rPr>
        <w:t>המקומית</w:t>
      </w:r>
      <w:r w:rsidRPr="00E75D83">
        <w:rPr>
          <w:b/>
          <w:bCs/>
          <w:sz w:val="20"/>
          <w:rtl/>
        </w:rPr>
        <w:t xml:space="preserve"> </w:t>
      </w:r>
      <w:r w:rsidRPr="00E75D83">
        <w:rPr>
          <w:rFonts w:hint="eastAsia"/>
          <w:b/>
          <w:bCs/>
          <w:sz w:val="20"/>
          <w:rtl/>
        </w:rPr>
        <w:t>לתכנון</w:t>
      </w:r>
      <w:r w:rsidRPr="00E75D83">
        <w:rPr>
          <w:b/>
          <w:bCs/>
          <w:sz w:val="20"/>
          <w:rtl/>
        </w:rPr>
        <w:t xml:space="preserve"> </w:t>
      </w:r>
      <w:r w:rsidRPr="00E75D83">
        <w:rPr>
          <w:rFonts w:hint="eastAsia"/>
          <w:b/>
          <w:bCs/>
          <w:sz w:val="20"/>
          <w:rtl/>
        </w:rPr>
        <w:t>ולבנייה</w:t>
      </w:r>
      <w:r w:rsidRPr="00E75D83">
        <w:rPr>
          <w:b/>
          <w:bCs/>
          <w:sz w:val="20"/>
          <w:rtl/>
        </w:rPr>
        <w:t xml:space="preserve"> </w:t>
      </w:r>
      <w:r w:rsidRPr="00E75D83">
        <w:rPr>
          <w:rFonts w:hint="eastAsia"/>
          <w:b/>
          <w:bCs/>
          <w:sz w:val="20"/>
          <w:rtl/>
        </w:rPr>
        <w:t>ירושלים</w:t>
      </w:r>
      <w:r w:rsidRPr="00E75D83">
        <w:rPr>
          <w:sz w:val="20"/>
          <w:rtl/>
        </w:rPr>
        <w:t xml:space="preserve">, פ"ד </w:t>
      </w:r>
      <w:r w:rsidRPr="00E75D83">
        <w:rPr>
          <w:rFonts w:hint="eastAsia"/>
          <w:sz w:val="20"/>
          <w:rtl/>
        </w:rPr>
        <w:t>נז</w:t>
      </w:r>
      <w:r w:rsidRPr="00E75D83">
        <w:rPr>
          <w:sz w:val="20"/>
          <w:rtl/>
        </w:rPr>
        <w:t xml:space="preserve">(5) 433, 460 (2003); בש"א 1528/06 </w:t>
      </w:r>
      <w:r w:rsidRPr="00E75D83">
        <w:rPr>
          <w:rFonts w:hint="eastAsia"/>
          <w:b/>
          <w:bCs/>
          <w:sz w:val="20"/>
          <w:rtl/>
        </w:rPr>
        <w:t>ורנר</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כונס</w:t>
      </w:r>
      <w:r w:rsidRPr="00E75D83">
        <w:rPr>
          <w:b/>
          <w:bCs/>
          <w:sz w:val="20"/>
          <w:rtl/>
        </w:rPr>
        <w:t xml:space="preserve"> </w:t>
      </w:r>
      <w:r w:rsidRPr="00E75D83">
        <w:rPr>
          <w:rFonts w:hint="eastAsia"/>
          <w:b/>
          <w:bCs/>
          <w:sz w:val="20"/>
          <w:rtl/>
        </w:rPr>
        <w:t>הנכסים</w:t>
      </w:r>
      <w:r w:rsidRPr="00E75D83">
        <w:rPr>
          <w:b/>
          <w:bCs/>
          <w:sz w:val="20"/>
          <w:rtl/>
        </w:rPr>
        <w:t xml:space="preserve"> </w:t>
      </w:r>
      <w:r w:rsidRPr="00E75D83">
        <w:rPr>
          <w:rFonts w:hint="eastAsia"/>
          <w:b/>
          <w:bCs/>
          <w:sz w:val="20"/>
          <w:rtl/>
        </w:rPr>
        <w:t>הרשמי</w:t>
      </w:r>
      <w:r w:rsidRPr="00E75D83">
        <w:rPr>
          <w:sz w:val="20"/>
          <w:rtl/>
        </w:rPr>
        <w:t xml:space="preserve">, פס' 8 </w:t>
      </w:r>
      <w:r w:rsidRPr="00E75D83">
        <w:rPr>
          <w:rFonts w:hint="eastAsia"/>
          <w:sz w:val="20"/>
          <w:rtl/>
        </w:rPr>
        <w:t>לפסק</w:t>
      </w:r>
      <w:r w:rsidRPr="00E75D83">
        <w:rPr>
          <w:sz w:val="20"/>
          <w:rtl/>
        </w:rPr>
        <w:t xml:space="preserve"> </w:t>
      </w:r>
      <w:r w:rsidRPr="00E75D83">
        <w:rPr>
          <w:rFonts w:hint="eastAsia"/>
          <w:sz w:val="20"/>
          <w:rtl/>
        </w:rPr>
        <w:t>דינ</w:t>
      </w:r>
      <w:r>
        <w:rPr>
          <w:rFonts w:hint="cs"/>
          <w:sz w:val="20"/>
          <w:rtl/>
        </w:rPr>
        <w:t>ה</w:t>
      </w:r>
      <w:r w:rsidRPr="00E75D83">
        <w:rPr>
          <w:sz w:val="20"/>
          <w:rtl/>
        </w:rPr>
        <w:t xml:space="preserve"> של השופטת </w:t>
      </w:r>
      <w:r w:rsidRPr="00E75D83">
        <w:rPr>
          <w:rFonts w:hint="eastAsia"/>
          <w:sz w:val="20"/>
          <w:rtl/>
        </w:rPr>
        <w:t>פרוקצ</w:t>
      </w:r>
      <w:r w:rsidRPr="00E75D83">
        <w:rPr>
          <w:sz w:val="20"/>
          <w:rtl/>
        </w:rPr>
        <w:t xml:space="preserve">'יה (פורסם בנבו, 17.10.2007); בג"ץ 9198/02 </w:t>
      </w:r>
      <w:r w:rsidRPr="00E75D83">
        <w:rPr>
          <w:rFonts w:hint="eastAsia"/>
          <w:b/>
          <w:bCs/>
          <w:sz w:val="20"/>
          <w:rtl/>
        </w:rPr>
        <w:t>ההסתדרות</w:t>
      </w:r>
      <w:r w:rsidRPr="00E75D83">
        <w:rPr>
          <w:b/>
          <w:bCs/>
          <w:sz w:val="20"/>
          <w:rtl/>
        </w:rPr>
        <w:t xml:space="preserve"> </w:t>
      </w:r>
      <w:r w:rsidRPr="00E75D83">
        <w:rPr>
          <w:rFonts w:hint="eastAsia"/>
          <w:b/>
          <w:bCs/>
          <w:sz w:val="20"/>
          <w:rtl/>
        </w:rPr>
        <w:t>הרפואית</w:t>
      </w:r>
      <w:r w:rsidRPr="00E75D83">
        <w:rPr>
          <w:b/>
          <w:bCs/>
          <w:sz w:val="20"/>
          <w:rtl/>
        </w:rPr>
        <w:t xml:space="preserve"> </w:t>
      </w:r>
      <w:r w:rsidRPr="00E75D83">
        <w:rPr>
          <w:rFonts w:hint="eastAsia"/>
          <w:b/>
          <w:bCs/>
          <w:sz w:val="20"/>
          <w:rtl/>
        </w:rPr>
        <w:t>בישראל</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היועץ</w:t>
      </w:r>
      <w:r w:rsidRPr="00E75D83">
        <w:rPr>
          <w:b/>
          <w:bCs/>
          <w:sz w:val="20"/>
          <w:rtl/>
        </w:rPr>
        <w:t xml:space="preserve"> </w:t>
      </w:r>
      <w:r w:rsidRPr="00E75D83">
        <w:rPr>
          <w:rFonts w:hint="eastAsia"/>
          <w:b/>
          <w:bCs/>
          <w:sz w:val="20"/>
          <w:rtl/>
        </w:rPr>
        <w:t>המשפטי</w:t>
      </w:r>
      <w:r w:rsidRPr="00E75D83">
        <w:rPr>
          <w:b/>
          <w:bCs/>
          <w:sz w:val="20"/>
          <w:rtl/>
        </w:rPr>
        <w:t xml:space="preserve"> </w:t>
      </w:r>
      <w:r w:rsidRPr="00E75D83">
        <w:rPr>
          <w:rFonts w:hint="eastAsia"/>
          <w:b/>
          <w:bCs/>
          <w:sz w:val="20"/>
          <w:rtl/>
        </w:rPr>
        <w:t>לממשלה</w:t>
      </w:r>
      <w:r w:rsidRPr="00E75D83">
        <w:rPr>
          <w:sz w:val="20"/>
          <w:rtl/>
        </w:rPr>
        <w:t xml:space="preserve">, פ"ד </w:t>
      </w:r>
      <w:r w:rsidRPr="00E75D83">
        <w:rPr>
          <w:rFonts w:hint="eastAsia"/>
          <w:sz w:val="20"/>
          <w:rtl/>
        </w:rPr>
        <w:t>סג</w:t>
      </w:r>
      <w:r w:rsidRPr="00E75D83">
        <w:rPr>
          <w:sz w:val="20"/>
          <w:rtl/>
        </w:rPr>
        <w:t xml:space="preserve">(1) 352, 404 (2008); רע"א 993/06 </w:t>
      </w:r>
      <w:r w:rsidRPr="00E75D83">
        <w:rPr>
          <w:rFonts w:hint="eastAsia"/>
          <w:b/>
          <w:bCs/>
          <w:sz w:val="20"/>
          <w:rtl/>
        </w:rPr>
        <w:t>מדינת</w:t>
      </w:r>
      <w:r w:rsidRPr="00E75D83">
        <w:rPr>
          <w:b/>
          <w:bCs/>
          <w:sz w:val="20"/>
          <w:rtl/>
        </w:rPr>
        <w:t xml:space="preserve"> ישראל נ' </w:t>
      </w:r>
      <w:proofErr w:type="spellStart"/>
      <w:r w:rsidRPr="00E75D83">
        <w:rPr>
          <w:rFonts w:hint="eastAsia"/>
          <w:b/>
          <w:bCs/>
          <w:sz w:val="20"/>
          <w:rtl/>
        </w:rPr>
        <w:t>דיראני</w:t>
      </w:r>
      <w:proofErr w:type="spellEnd"/>
      <w:r w:rsidRPr="00E75D83">
        <w:rPr>
          <w:sz w:val="20"/>
          <w:rtl/>
        </w:rPr>
        <w:t>, פ"ד סה(1) 438</w:t>
      </w:r>
      <w:r>
        <w:rPr>
          <w:rFonts w:hint="cs"/>
          <w:sz w:val="20"/>
          <w:rtl/>
        </w:rPr>
        <w:t xml:space="preserve">, </w:t>
      </w:r>
      <w:r w:rsidRPr="00E75D83">
        <w:rPr>
          <w:sz w:val="20"/>
          <w:rtl/>
        </w:rPr>
        <w:t xml:space="preserve">פס' 23 לפסק דינה של השופטת </w:t>
      </w:r>
      <w:proofErr w:type="spellStart"/>
      <w:r w:rsidRPr="00E75D83">
        <w:rPr>
          <w:rFonts w:hint="eastAsia"/>
          <w:sz w:val="20"/>
          <w:rtl/>
        </w:rPr>
        <w:t>פרוקצ</w:t>
      </w:r>
      <w:r w:rsidRPr="00E75D83">
        <w:rPr>
          <w:sz w:val="20"/>
          <w:rtl/>
        </w:rPr>
        <w:t>'יה</w:t>
      </w:r>
      <w:proofErr w:type="spellEnd"/>
      <w:r>
        <w:rPr>
          <w:rFonts w:hint="cs"/>
          <w:sz w:val="20"/>
          <w:rtl/>
        </w:rPr>
        <w:t xml:space="preserve"> (2011)</w:t>
      </w:r>
      <w:r w:rsidRPr="00E75D83">
        <w:rPr>
          <w:sz w:val="20"/>
          <w:rtl/>
        </w:rPr>
        <w:t xml:space="preserve">; עניין </w:t>
      </w:r>
      <w:proofErr w:type="spellStart"/>
      <w:r w:rsidRPr="00E75D83">
        <w:rPr>
          <w:rFonts w:hint="eastAsia"/>
          <w:b/>
          <w:bCs/>
          <w:sz w:val="20"/>
          <w:rtl/>
        </w:rPr>
        <w:t>נעמאת</w:t>
      </w:r>
      <w:proofErr w:type="spellEnd"/>
      <w:r w:rsidRPr="00E75D83">
        <w:rPr>
          <w:sz w:val="20"/>
          <w:rtl/>
        </w:rPr>
        <w:t xml:space="preserve">,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Ref486891491 \h</w:instrText>
      </w:r>
      <w:r>
        <w:rPr>
          <w:sz w:val="20"/>
          <w:rtl/>
        </w:rPr>
        <w:instrText xml:space="preserve"> </w:instrText>
      </w:r>
      <w:r>
        <w:rPr>
          <w:sz w:val="20"/>
          <w:rtl/>
        </w:rPr>
      </w:r>
      <w:r>
        <w:rPr>
          <w:sz w:val="20"/>
          <w:rtl/>
        </w:rPr>
        <w:fldChar w:fldCharType="separate"/>
      </w:r>
      <w:r>
        <w:rPr>
          <w:sz w:val="20"/>
          <w:rtl/>
        </w:rPr>
        <w:t>48</w:t>
      </w:r>
      <w:r>
        <w:rPr>
          <w:sz w:val="20"/>
          <w:rtl/>
        </w:rPr>
        <w:fldChar w:fldCharType="end"/>
      </w:r>
      <w:r w:rsidRPr="00E75D83">
        <w:rPr>
          <w:sz w:val="20"/>
          <w:rtl/>
        </w:rPr>
        <w:t xml:space="preserve">. </w:t>
      </w:r>
    </w:p>
  </w:footnote>
  <w:footnote w:id="51">
    <w:p w14:paraId="2F2B0A82" w14:textId="7E7BC66A" w:rsidR="00063AE7" w:rsidRPr="00E75D83" w:rsidRDefault="00063AE7" w:rsidP="00852EAA">
      <w:pPr>
        <w:pStyle w:val="a4"/>
        <w:jc w:val="both"/>
        <w:rPr>
          <w:sz w:val="20"/>
        </w:rPr>
      </w:pPr>
      <w:r w:rsidRPr="00E75D83">
        <w:rPr>
          <w:rStyle w:val="a3"/>
          <w:sz w:val="20"/>
        </w:rPr>
        <w:footnoteRef/>
      </w:r>
      <w:r w:rsidRPr="00E75D83">
        <w:rPr>
          <w:sz w:val="20"/>
          <w:rtl/>
        </w:rPr>
        <w:t xml:space="preserve"> </w:t>
      </w:r>
      <w:r w:rsidRPr="00E75D83">
        <w:rPr>
          <w:rFonts w:hint="eastAsia"/>
          <w:sz w:val="20"/>
          <w:rtl/>
        </w:rPr>
        <w:t>בהתאם</w:t>
      </w:r>
      <w:r w:rsidRPr="00E75D83">
        <w:rPr>
          <w:sz w:val="20"/>
          <w:rtl/>
        </w:rPr>
        <w:t xml:space="preserve"> </w:t>
      </w:r>
      <w:r w:rsidRPr="00E75D83">
        <w:rPr>
          <w:rFonts w:hint="eastAsia"/>
          <w:sz w:val="20"/>
          <w:rtl/>
        </w:rPr>
        <w:t>לס</w:t>
      </w:r>
      <w:r w:rsidRPr="00E75D83">
        <w:rPr>
          <w:sz w:val="20"/>
          <w:rtl/>
        </w:rPr>
        <w:t>' 8 לחוק</w:t>
      </w:r>
      <w:r w:rsidR="000E4A86">
        <w:rPr>
          <w:rFonts w:hint="cs"/>
          <w:sz w:val="20"/>
          <w:rtl/>
        </w:rPr>
        <w:t>-</w:t>
      </w:r>
      <w:r w:rsidRPr="00E75D83">
        <w:rPr>
          <w:sz w:val="20"/>
          <w:rtl/>
        </w:rPr>
        <w:t xml:space="preserve">יסוד: כבוד האדם וחירותו, כדי שפגיעה בזכות הגישה לערכאות על ידי רשות מנהלית תהא כדין עליה לעמוד בארבעת התנאים כדלקמן: האחד, על הפגיעה בזכות הגישה להיות בחוק (או על פיו); התנאים השני והשלישי דורשים להוכיח כי החוק הפוגע בזכות הגישה לערכאות הולם את ערכיה של מדינת ישראל ונועד לתכלית ראויה; התנאי הרביעי דורש להוכיח כי הפגיעה בזכות הגישה לערכאות תהא במידה שאינה עולה על הנדרש. תנאי זה מכפיף את הפגיעה בזכות הגישה לערכאות למבחני המידתיות הידועים. </w:t>
      </w:r>
      <w:r w:rsidRPr="00E75D83">
        <w:rPr>
          <w:sz w:val="20"/>
          <w:rtl/>
        </w:rPr>
        <w:t xml:space="preserve">אלא שכאמור נוסחה איזון חוקתית זו חלה על רשויות השלטון החייבות בכיבוד זכויות היסוד לפי </w:t>
      </w:r>
      <w:r w:rsidRPr="00E75D83">
        <w:rPr>
          <w:rFonts w:hint="eastAsia"/>
          <w:sz w:val="20"/>
          <w:rtl/>
        </w:rPr>
        <w:t>ס</w:t>
      </w:r>
      <w:r w:rsidRPr="00E75D83">
        <w:rPr>
          <w:sz w:val="20"/>
          <w:rtl/>
        </w:rPr>
        <w:t xml:space="preserve">' 11 </w:t>
      </w:r>
      <w:r w:rsidRPr="00E75D83">
        <w:rPr>
          <w:rFonts w:hint="eastAsia"/>
          <w:sz w:val="20"/>
          <w:rtl/>
        </w:rPr>
        <w:t>לחוק</w:t>
      </w:r>
      <w:r w:rsidR="000E4A86">
        <w:rPr>
          <w:rFonts w:hint="cs"/>
          <w:sz w:val="20"/>
          <w:rtl/>
        </w:rPr>
        <w:t xml:space="preserve"> </w:t>
      </w:r>
      <w:r w:rsidRPr="00E75D83">
        <w:rPr>
          <w:rFonts w:hint="eastAsia"/>
          <w:sz w:val="20"/>
          <w:rtl/>
        </w:rPr>
        <w:t>יסוד</w:t>
      </w:r>
      <w:r w:rsidR="00094CD0">
        <w:rPr>
          <w:rFonts w:hint="cs"/>
          <w:sz w:val="20"/>
          <w:rtl/>
        </w:rPr>
        <w:t xml:space="preserve">: כבוד האדם וחירותו. </w:t>
      </w:r>
    </w:p>
  </w:footnote>
  <w:footnote w:id="52">
    <w:p w14:paraId="213EE383" w14:textId="712D7010" w:rsidR="00063AE7" w:rsidRPr="00E75D83" w:rsidRDefault="00063AE7" w:rsidP="00E61DD6">
      <w:pPr>
        <w:pStyle w:val="a4"/>
        <w:jc w:val="both"/>
        <w:rPr>
          <w:sz w:val="20"/>
        </w:rPr>
      </w:pPr>
      <w:r w:rsidRPr="00E75D83">
        <w:rPr>
          <w:rStyle w:val="a3"/>
          <w:sz w:val="20"/>
        </w:rPr>
        <w:footnoteRef/>
      </w:r>
      <w:r w:rsidRPr="00E75D83">
        <w:rPr>
          <w:sz w:val="20"/>
          <w:rtl/>
        </w:rPr>
        <w:t xml:space="preserve"> </w:t>
      </w:r>
      <w:r w:rsidRPr="00E75D83">
        <w:rPr>
          <w:rFonts w:hint="eastAsia"/>
          <w:sz w:val="20"/>
          <w:rtl/>
        </w:rPr>
        <w:t>ס</w:t>
      </w:r>
      <w:r w:rsidRPr="00E75D83">
        <w:rPr>
          <w:sz w:val="20"/>
          <w:rtl/>
        </w:rPr>
        <w:t xml:space="preserve">' 11 </w:t>
      </w:r>
      <w:r w:rsidRPr="00E75D83">
        <w:rPr>
          <w:rFonts w:hint="eastAsia"/>
          <w:sz w:val="20"/>
          <w:rtl/>
        </w:rPr>
        <w:t>לחוק</w:t>
      </w:r>
      <w:r w:rsidR="000E4A86">
        <w:rPr>
          <w:rFonts w:hint="cs"/>
          <w:sz w:val="20"/>
          <w:rtl/>
        </w:rPr>
        <w:t>-</w:t>
      </w:r>
      <w:r w:rsidRPr="00E75D83">
        <w:rPr>
          <w:rFonts w:hint="eastAsia"/>
          <w:sz w:val="20"/>
          <w:rtl/>
        </w:rPr>
        <w:t>יסוד</w:t>
      </w:r>
      <w:r w:rsidRPr="00E75D83">
        <w:rPr>
          <w:sz w:val="20"/>
          <w:rtl/>
        </w:rPr>
        <w:t xml:space="preserve">: </w:t>
      </w:r>
      <w:r w:rsidRPr="00E75D83">
        <w:rPr>
          <w:rFonts w:hint="eastAsia"/>
          <w:sz w:val="20"/>
          <w:rtl/>
        </w:rPr>
        <w:t>כבוד</w:t>
      </w:r>
      <w:r w:rsidRPr="00E75D83">
        <w:rPr>
          <w:sz w:val="20"/>
          <w:rtl/>
        </w:rPr>
        <w:t xml:space="preserve"> </w:t>
      </w:r>
      <w:r w:rsidRPr="00E75D83">
        <w:rPr>
          <w:rFonts w:hint="eastAsia"/>
          <w:sz w:val="20"/>
          <w:rtl/>
        </w:rPr>
        <w:t>האדם</w:t>
      </w:r>
      <w:r w:rsidRPr="00E75D83">
        <w:rPr>
          <w:sz w:val="20"/>
          <w:rtl/>
        </w:rPr>
        <w:t xml:space="preserve"> </w:t>
      </w:r>
      <w:r w:rsidRPr="00E75D83">
        <w:rPr>
          <w:rFonts w:hint="eastAsia"/>
          <w:sz w:val="20"/>
          <w:rtl/>
        </w:rPr>
        <w:t>וחירותו</w:t>
      </w:r>
      <w:r w:rsidRPr="00E75D83">
        <w:rPr>
          <w:sz w:val="20"/>
          <w:rtl/>
        </w:rPr>
        <w:t>.</w:t>
      </w:r>
    </w:p>
  </w:footnote>
  <w:footnote w:id="53">
    <w:p w14:paraId="04AADA9B" w14:textId="77777777" w:rsidR="00063AE7" w:rsidRPr="00E75D83" w:rsidRDefault="00063AE7" w:rsidP="00D15E62">
      <w:pPr>
        <w:pStyle w:val="a4"/>
        <w:jc w:val="both"/>
        <w:rPr>
          <w:sz w:val="20"/>
        </w:rPr>
      </w:pPr>
      <w:r w:rsidRPr="00E75D83">
        <w:rPr>
          <w:rStyle w:val="a3"/>
          <w:sz w:val="20"/>
        </w:rPr>
        <w:footnoteRef/>
      </w:r>
      <w:r w:rsidRPr="00E75D83">
        <w:rPr>
          <w:sz w:val="20"/>
          <w:rtl/>
        </w:rPr>
        <w:t xml:space="preserve"> </w:t>
      </w:r>
      <w:r w:rsidRPr="00E75D83">
        <w:rPr>
          <w:rFonts w:hint="eastAsia"/>
          <w:sz w:val="20"/>
          <w:rtl/>
        </w:rPr>
        <w:t>דפנה</w:t>
      </w:r>
      <w:r w:rsidRPr="00E75D83">
        <w:rPr>
          <w:sz w:val="20"/>
          <w:rtl/>
        </w:rPr>
        <w:t xml:space="preserve"> ברק-ארז וישראל גלעד "זכויות אדם בדיני החוזים ובדיני הנזיקין: המהפכה השקטה" </w:t>
      </w:r>
      <w:r w:rsidRPr="00E75D83">
        <w:rPr>
          <w:rFonts w:hint="eastAsia"/>
          <w:b/>
          <w:bCs/>
          <w:sz w:val="20"/>
          <w:rtl/>
        </w:rPr>
        <w:t>קרית</w:t>
      </w:r>
      <w:r w:rsidRPr="00E75D83">
        <w:rPr>
          <w:b/>
          <w:bCs/>
          <w:sz w:val="20"/>
          <w:rtl/>
        </w:rPr>
        <w:t xml:space="preserve"> המשפט</w:t>
      </w:r>
      <w:r w:rsidRPr="00E75D83">
        <w:rPr>
          <w:sz w:val="20"/>
          <w:rtl/>
        </w:rPr>
        <w:t xml:space="preserve"> ח 11, 14 (2009). </w:t>
      </w:r>
    </w:p>
  </w:footnote>
  <w:footnote w:id="54">
    <w:p w14:paraId="299120C3" w14:textId="77777777" w:rsidR="00063AE7" w:rsidRPr="00E75D83" w:rsidRDefault="00063AE7" w:rsidP="00D15E62">
      <w:pPr>
        <w:pStyle w:val="a4"/>
        <w:jc w:val="both"/>
        <w:rPr>
          <w:sz w:val="20"/>
        </w:rPr>
      </w:pPr>
      <w:r w:rsidRPr="00E75D83">
        <w:rPr>
          <w:rStyle w:val="a3"/>
          <w:sz w:val="20"/>
        </w:rPr>
        <w:footnoteRef/>
      </w:r>
      <w:r w:rsidRPr="00E75D83">
        <w:rPr>
          <w:sz w:val="20"/>
          <w:rtl/>
        </w:rPr>
        <w:t xml:space="preserve"> </w:t>
      </w:r>
      <w:r>
        <w:rPr>
          <w:rFonts w:hint="cs"/>
          <w:sz w:val="20"/>
          <w:rtl/>
        </w:rPr>
        <w:t>שם, בעמ' 16;</w:t>
      </w:r>
      <w:r>
        <w:rPr>
          <w:rFonts w:hint="cs"/>
          <w:sz w:val="20"/>
        </w:rPr>
        <w:t xml:space="preserve"> </w:t>
      </w:r>
      <w:r w:rsidRPr="00E75D83">
        <w:rPr>
          <w:rFonts w:hint="eastAsia"/>
          <w:sz w:val="20"/>
          <w:rtl/>
        </w:rPr>
        <w:t>אהרן</w:t>
      </w:r>
      <w:r w:rsidRPr="00E75D83">
        <w:rPr>
          <w:sz w:val="20"/>
          <w:rtl/>
        </w:rPr>
        <w:t xml:space="preserve"> ברק "זכויות אדם מוגנות והמשפט הפרטי" </w:t>
      </w:r>
      <w:r w:rsidRPr="00E75D83">
        <w:rPr>
          <w:rFonts w:hint="eastAsia"/>
          <w:b/>
          <w:bCs/>
          <w:sz w:val="20"/>
          <w:rtl/>
        </w:rPr>
        <w:t>ספר</w:t>
      </w:r>
      <w:r w:rsidRPr="00E75D83">
        <w:rPr>
          <w:b/>
          <w:bCs/>
          <w:sz w:val="20"/>
          <w:rtl/>
        </w:rPr>
        <w:t xml:space="preserve"> </w:t>
      </w:r>
      <w:r w:rsidRPr="00E75D83">
        <w:rPr>
          <w:rFonts w:hint="eastAsia"/>
          <w:b/>
          <w:bCs/>
          <w:sz w:val="20"/>
          <w:rtl/>
        </w:rPr>
        <w:t>קלינגהופר</w:t>
      </w:r>
      <w:r w:rsidRPr="00E75D83">
        <w:rPr>
          <w:b/>
          <w:bCs/>
          <w:sz w:val="20"/>
          <w:rtl/>
        </w:rPr>
        <w:t xml:space="preserve"> על המשפט הציבורי</w:t>
      </w:r>
      <w:r w:rsidRPr="00E75D83">
        <w:rPr>
          <w:sz w:val="20"/>
          <w:rtl/>
        </w:rPr>
        <w:t xml:space="preserve"> 163, 176–178 (1993);</w:t>
      </w:r>
      <w:r>
        <w:rPr>
          <w:rFonts w:hint="cs"/>
          <w:sz w:val="20"/>
        </w:rPr>
        <w:t xml:space="preserve"> </w:t>
      </w:r>
      <w:r w:rsidRPr="00E75D83">
        <w:rPr>
          <w:sz w:val="20"/>
          <w:rtl/>
        </w:rPr>
        <w:t xml:space="preserve">לגישה המצדדת באימוץ מודל התחולה הישירה ראו: עלי </w:t>
      </w:r>
      <w:r w:rsidRPr="00E75D83">
        <w:rPr>
          <w:rFonts w:hint="eastAsia"/>
          <w:sz w:val="20"/>
          <w:rtl/>
        </w:rPr>
        <w:t>בוקשפן</w:t>
      </w:r>
      <w:r w:rsidRPr="00E75D83">
        <w:rPr>
          <w:sz w:val="20"/>
          <w:rtl/>
        </w:rPr>
        <w:t xml:space="preserve"> ואסא כשר "החלה ישירה של זכויות האדם על הכלל" </w:t>
      </w:r>
      <w:r w:rsidRPr="00E75D83">
        <w:rPr>
          <w:rFonts w:hint="eastAsia"/>
          <w:b/>
          <w:bCs/>
          <w:sz w:val="20"/>
          <w:rtl/>
        </w:rPr>
        <w:t>עיוני</w:t>
      </w:r>
      <w:r w:rsidRPr="00E75D83">
        <w:rPr>
          <w:b/>
          <w:bCs/>
          <w:sz w:val="20"/>
          <w:rtl/>
        </w:rPr>
        <w:t xml:space="preserve"> </w:t>
      </w:r>
      <w:r w:rsidRPr="00E75D83">
        <w:rPr>
          <w:rFonts w:hint="eastAsia"/>
          <w:b/>
          <w:bCs/>
          <w:sz w:val="20"/>
          <w:rtl/>
        </w:rPr>
        <w:t>משפט</w:t>
      </w:r>
      <w:r w:rsidRPr="00E75D83">
        <w:rPr>
          <w:sz w:val="20"/>
          <w:rtl/>
        </w:rPr>
        <w:t xml:space="preserve"> מ 45 (2017). </w:t>
      </w:r>
    </w:p>
  </w:footnote>
  <w:footnote w:id="55">
    <w:p w14:paraId="3FA29203" w14:textId="061EFCFC" w:rsidR="00063AE7" w:rsidRPr="00E75D83" w:rsidRDefault="00063AE7" w:rsidP="00F92645">
      <w:pPr>
        <w:pStyle w:val="a4"/>
        <w:rPr>
          <w:sz w:val="20"/>
        </w:rPr>
      </w:pPr>
      <w:r w:rsidRPr="00E75D83">
        <w:rPr>
          <w:rStyle w:val="a3"/>
          <w:sz w:val="20"/>
        </w:rPr>
        <w:footnoteRef/>
      </w:r>
      <w:r w:rsidRPr="00E75D83">
        <w:rPr>
          <w:rStyle w:val="a3"/>
          <w:sz w:val="20"/>
          <w:rtl/>
        </w:rPr>
        <w:t xml:space="preserve"> </w:t>
      </w:r>
      <w:proofErr w:type="spellStart"/>
      <w:r w:rsidRPr="00E75D83">
        <w:rPr>
          <w:rFonts w:hint="eastAsia"/>
          <w:sz w:val="20"/>
          <w:rtl/>
        </w:rPr>
        <w:t>ברק</w:t>
      </w:r>
      <w:r w:rsidR="00BF7A46">
        <w:rPr>
          <w:rFonts w:hint="cs"/>
          <w:rtl/>
        </w:rPr>
        <w:t>־</w:t>
      </w:r>
      <w:r w:rsidRPr="00E75D83">
        <w:rPr>
          <w:sz w:val="20"/>
          <w:rtl/>
        </w:rPr>
        <w:t>ארז</w:t>
      </w:r>
      <w:proofErr w:type="spellEnd"/>
      <w:r w:rsidRPr="00E75D83">
        <w:rPr>
          <w:sz w:val="20"/>
          <w:rtl/>
        </w:rPr>
        <w:t xml:space="preserve"> וגלעד, </w:t>
      </w:r>
      <w:r>
        <w:rPr>
          <w:rFonts w:hint="cs"/>
          <w:sz w:val="20"/>
          <w:rtl/>
        </w:rPr>
        <w:t xml:space="preserve">לעיל </w:t>
      </w:r>
      <w:proofErr w:type="spellStart"/>
      <w:r>
        <w:rPr>
          <w:rFonts w:hint="cs"/>
          <w:sz w:val="20"/>
          <w:rtl/>
        </w:rPr>
        <w:t>ה"ש</w:t>
      </w:r>
      <w:proofErr w:type="spellEnd"/>
      <w:r>
        <w:rPr>
          <w:rFonts w:hint="cs"/>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Ref499022006 \h</w:instrText>
      </w:r>
      <w:r>
        <w:rPr>
          <w:sz w:val="20"/>
          <w:rtl/>
        </w:rPr>
        <w:instrText xml:space="preserve"> </w:instrText>
      </w:r>
      <w:r>
        <w:rPr>
          <w:sz w:val="20"/>
          <w:rtl/>
        </w:rPr>
      </w:r>
      <w:r>
        <w:rPr>
          <w:sz w:val="20"/>
          <w:rtl/>
        </w:rPr>
        <w:fldChar w:fldCharType="separate"/>
      </w:r>
      <w:r>
        <w:rPr>
          <w:sz w:val="20"/>
          <w:rtl/>
        </w:rPr>
        <w:t>53</w:t>
      </w:r>
      <w:r>
        <w:rPr>
          <w:sz w:val="20"/>
          <w:rtl/>
        </w:rPr>
        <w:fldChar w:fldCharType="end"/>
      </w:r>
      <w:r w:rsidRPr="00E75D83">
        <w:rPr>
          <w:sz w:val="20"/>
          <w:rtl/>
        </w:rPr>
        <w:t xml:space="preserve">. </w:t>
      </w:r>
    </w:p>
  </w:footnote>
  <w:footnote w:id="56">
    <w:p w14:paraId="5AC84744"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בהתאם</w:t>
      </w:r>
      <w:r w:rsidRPr="00E75D83">
        <w:rPr>
          <w:sz w:val="20"/>
          <w:rtl/>
        </w:rPr>
        <w:t xml:space="preserve"> </w:t>
      </w:r>
      <w:r w:rsidRPr="00E75D83">
        <w:rPr>
          <w:rFonts w:hint="eastAsia"/>
          <w:sz w:val="20"/>
          <w:rtl/>
        </w:rPr>
        <w:t>לקבוע</w:t>
      </w:r>
      <w:r w:rsidRPr="00E75D83">
        <w:rPr>
          <w:sz w:val="20"/>
          <w:rtl/>
        </w:rPr>
        <w:t xml:space="preserve"> </w:t>
      </w:r>
      <w:r w:rsidRPr="00E75D83">
        <w:rPr>
          <w:rFonts w:hint="eastAsia"/>
          <w:sz w:val="20"/>
          <w:rtl/>
        </w:rPr>
        <w:t>בס</w:t>
      </w:r>
      <w:r w:rsidRPr="00E75D83">
        <w:rPr>
          <w:sz w:val="20"/>
          <w:rtl/>
        </w:rPr>
        <w:t xml:space="preserve">' 30 </w:t>
      </w:r>
      <w:r w:rsidRPr="00E75D83">
        <w:rPr>
          <w:rFonts w:hint="eastAsia"/>
          <w:sz w:val="20"/>
          <w:rtl/>
        </w:rPr>
        <w:t>לחוק</w:t>
      </w:r>
      <w:r w:rsidRPr="00E75D83">
        <w:rPr>
          <w:sz w:val="20"/>
          <w:rtl/>
        </w:rPr>
        <w:t xml:space="preserve"> </w:t>
      </w:r>
      <w:r w:rsidRPr="00E75D83">
        <w:rPr>
          <w:rFonts w:hint="eastAsia"/>
          <w:sz w:val="20"/>
          <w:rtl/>
        </w:rPr>
        <w:t>החוזים</w:t>
      </w:r>
      <w:r w:rsidRPr="00E75D83">
        <w:rPr>
          <w:sz w:val="20"/>
          <w:rtl/>
        </w:rPr>
        <w:t xml:space="preserve"> </w:t>
      </w:r>
      <w:r w:rsidRPr="00E75D83">
        <w:rPr>
          <w:rFonts w:hint="eastAsia"/>
          <w:sz w:val="20"/>
          <w:rtl/>
        </w:rPr>
        <w:t>שכותרתו</w:t>
      </w:r>
      <w:r w:rsidRPr="00E75D83">
        <w:rPr>
          <w:sz w:val="20"/>
          <w:rtl/>
        </w:rPr>
        <w:t xml:space="preserve"> "חוזה </w:t>
      </w:r>
      <w:r w:rsidRPr="00E75D83">
        <w:rPr>
          <w:rFonts w:hint="eastAsia"/>
          <w:sz w:val="20"/>
          <w:rtl/>
        </w:rPr>
        <w:t>פסול</w:t>
      </w:r>
      <w:r w:rsidRPr="00E75D83">
        <w:rPr>
          <w:sz w:val="20"/>
          <w:rtl/>
        </w:rPr>
        <w:t>": "חוזה שכריתתו, תכנו או מטרתו הם בלתי חוקיים, בלתי מוסריים או סותרים את תקנת הציבור – בטל".</w:t>
      </w:r>
    </w:p>
  </w:footnote>
  <w:footnote w:id="57">
    <w:p w14:paraId="5062F529" w14:textId="77777777" w:rsidR="00063AE7" w:rsidRPr="00E75D83" w:rsidRDefault="00063AE7" w:rsidP="00AA310B">
      <w:pPr>
        <w:pStyle w:val="a4"/>
        <w:jc w:val="both"/>
        <w:rPr>
          <w:sz w:val="20"/>
        </w:rPr>
      </w:pPr>
      <w:r w:rsidRPr="00E75D83">
        <w:rPr>
          <w:rStyle w:val="a3"/>
          <w:sz w:val="20"/>
          <w:rtl/>
        </w:rPr>
        <w:footnoteRef/>
      </w:r>
      <w:r w:rsidRPr="00E75D83">
        <w:rPr>
          <w:sz w:val="20"/>
          <w:rtl/>
        </w:rPr>
        <w:t xml:space="preserve"> </w:t>
      </w:r>
      <w:r w:rsidRPr="00E75D83">
        <w:rPr>
          <w:sz w:val="20"/>
          <w:rtl/>
        </w:rPr>
        <w:t xml:space="preserve">שילה,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Ref497718369 \h</w:instrText>
      </w:r>
      <w:r>
        <w:rPr>
          <w:sz w:val="20"/>
          <w:rtl/>
        </w:rPr>
        <w:instrText xml:space="preserve"> </w:instrText>
      </w:r>
      <w:r>
        <w:rPr>
          <w:sz w:val="20"/>
          <w:rtl/>
        </w:rPr>
      </w:r>
      <w:r>
        <w:rPr>
          <w:sz w:val="20"/>
          <w:rtl/>
        </w:rPr>
        <w:fldChar w:fldCharType="separate"/>
      </w:r>
      <w:r>
        <w:rPr>
          <w:sz w:val="20"/>
          <w:rtl/>
        </w:rPr>
        <w:t>39</w:t>
      </w:r>
      <w:r>
        <w:rPr>
          <w:sz w:val="20"/>
          <w:rtl/>
        </w:rPr>
        <w:fldChar w:fldCharType="end"/>
      </w:r>
      <w:r w:rsidRPr="00E75D83">
        <w:rPr>
          <w:sz w:val="20"/>
          <w:rtl/>
        </w:rPr>
        <w:t xml:space="preserve">, בעמ' 297 ואילך. </w:t>
      </w:r>
    </w:p>
  </w:footnote>
  <w:footnote w:id="58">
    <w:p w14:paraId="7F641097"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ד</w:t>
      </w:r>
      <w:r w:rsidRPr="00E75D83">
        <w:rPr>
          <w:sz w:val="20"/>
          <w:rtl/>
        </w:rPr>
        <w:t>"כ 42, 980 (</w:t>
      </w:r>
      <w:r w:rsidRPr="00E75D83">
        <w:rPr>
          <w:rFonts w:hint="eastAsia"/>
          <w:sz w:val="20"/>
          <w:rtl/>
        </w:rPr>
        <w:t>התשכ</w:t>
      </w:r>
      <w:r w:rsidRPr="00E75D83">
        <w:rPr>
          <w:sz w:val="20"/>
          <w:rtl/>
        </w:rPr>
        <w:t>"ה).</w:t>
      </w:r>
    </w:p>
  </w:footnote>
  <w:footnote w:id="59">
    <w:p w14:paraId="3CDD63DF" w14:textId="77777777" w:rsidR="00063AE7" w:rsidRPr="00E75D83" w:rsidRDefault="00063AE7" w:rsidP="00D15E62">
      <w:pPr>
        <w:pStyle w:val="a4"/>
        <w:jc w:val="both"/>
        <w:rPr>
          <w:sz w:val="20"/>
        </w:rPr>
      </w:pPr>
      <w:r w:rsidRPr="00E75D83">
        <w:rPr>
          <w:rStyle w:val="a3"/>
          <w:sz w:val="20"/>
        </w:rPr>
        <w:footnoteRef/>
      </w:r>
      <w:r w:rsidRPr="00E75D83">
        <w:rPr>
          <w:sz w:val="20"/>
          <w:rtl/>
        </w:rPr>
        <w:t xml:space="preserve"> </w:t>
      </w:r>
      <w:r w:rsidRPr="00E75D83">
        <w:rPr>
          <w:rFonts w:hint="eastAsia"/>
          <w:sz w:val="20"/>
          <w:rtl/>
        </w:rPr>
        <w:t>שם</w:t>
      </w:r>
      <w:r w:rsidRPr="00E75D83">
        <w:rPr>
          <w:sz w:val="20"/>
          <w:rtl/>
        </w:rPr>
        <w:t xml:space="preserve">, </w:t>
      </w:r>
      <w:r w:rsidRPr="00E75D83">
        <w:rPr>
          <w:rFonts w:hint="eastAsia"/>
          <w:sz w:val="20"/>
          <w:rtl/>
        </w:rPr>
        <w:t>בעמ</w:t>
      </w:r>
      <w:r w:rsidRPr="00E75D83">
        <w:rPr>
          <w:sz w:val="20"/>
          <w:rtl/>
        </w:rPr>
        <w:t xml:space="preserve">' 980–981; ראו גם הדעה המובאת במאמרו של גד טדסקי "שליחות לאחר המוות" </w:t>
      </w:r>
      <w:r w:rsidRPr="00E75D83">
        <w:rPr>
          <w:b/>
          <w:bCs/>
          <w:sz w:val="20"/>
          <w:rtl/>
        </w:rPr>
        <w:t>עיוני משפט</w:t>
      </w:r>
      <w:r w:rsidRPr="00E75D83">
        <w:rPr>
          <w:sz w:val="20"/>
          <w:rtl/>
        </w:rPr>
        <w:t xml:space="preserve"> י 257, 272 (התשמ"ד), שם כתב: "ואכן, הכלל של תקנת הציבור הוא אחד העקרונות הגלומים בשיטת משפטנו, בהיותו סייג כללי להכרת הדין באוטונומיה הפרטית על כל היבטיה".</w:t>
      </w:r>
    </w:p>
  </w:footnote>
  <w:footnote w:id="60">
    <w:p w14:paraId="144D34F6" w14:textId="77777777" w:rsidR="00063AE7" w:rsidRPr="00E75D83" w:rsidRDefault="00063AE7" w:rsidP="003C0B63">
      <w:pPr>
        <w:pStyle w:val="a4"/>
        <w:jc w:val="both"/>
        <w:rPr>
          <w:sz w:val="20"/>
        </w:rPr>
      </w:pPr>
      <w:r w:rsidRPr="00E75D83">
        <w:rPr>
          <w:rStyle w:val="a3"/>
          <w:sz w:val="20"/>
          <w:rtl/>
        </w:rPr>
        <w:footnoteRef/>
      </w:r>
      <w:r w:rsidRPr="00E75D83">
        <w:rPr>
          <w:sz w:val="20"/>
          <w:rtl/>
        </w:rPr>
        <w:t xml:space="preserve"> ע"א 245/85 </w:t>
      </w:r>
      <w:r w:rsidRPr="00E75D83">
        <w:rPr>
          <w:b/>
          <w:bCs/>
          <w:sz w:val="20"/>
          <w:rtl/>
        </w:rPr>
        <w:t>אנגלמן נ' קליין</w:t>
      </w:r>
      <w:r w:rsidRPr="00E75D83">
        <w:rPr>
          <w:sz w:val="20"/>
          <w:rtl/>
        </w:rPr>
        <w:t>, פ"ד מג(1) 772 (1989)</w:t>
      </w:r>
      <w:r>
        <w:rPr>
          <w:rFonts w:hint="cs"/>
          <w:sz w:val="20"/>
          <w:rtl/>
        </w:rPr>
        <w:t>.</w:t>
      </w:r>
    </w:p>
  </w:footnote>
  <w:footnote w:id="61">
    <w:p w14:paraId="70F577C3"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שם</w:t>
      </w:r>
      <w:r w:rsidRPr="00E75D83">
        <w:rPr>
          <w:sz w:val="20"/>
          <w:rtl/>
        </w:rPr>
        <w:t xml:space="preserve">. לטענת המערערת, </w:t>
      </w:r>
      <w:r w:rsidRPr="00E75D83">
        <w:rPr>
          <w:rFonts w:hint="eastAsia"/>
          <w:sz w:val="20"/>
          <w:rtl/>
        </w:rPr>
        <w:t>היה</w:t>
      </w:r>
      <w:r w:rsidRPr="00E75D83">
        <w:rPr>
          <w:sz w:val="20"/>
          <w:rtl/>
        </w:rPr>
        <w:t xml:space="preserve"> קיים ספק בדבר כתב היד שבו נכתבה הצוואה, הצוואה נכתבה תחת השפעה לא הוגנת והמשיבה, </w:t>
      </w:r>
      <w:r w:rsidRPr="00E75D83">
        <w:rPr>
          <w:rFonts w:hint="eastAsia"/>
          <w:sz w:val="20"/>
          <w:rtl/>
        </w:rPr>
        <w:t>אחותה</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המערערת</w:t>
      </w:r>
      <w:r w:rsidRPr="00E75D83">
        <w:rPr>
          <w:sz w:val="20"/>
          <w:rtl/>
        </w:rPr>
        <w:t xml:space="preserve"> </w:t>
      </w:r>
      <w:r w:rsidRPr="00E75D83">
        <w:rPr>
          <w:rFonts w:hint="eastAsia"/>
          <w:sz w:val="20"/>
          <w:rtl/>
        </w:rPr>
        <w:t>ובתה</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המורישה</w:t>
      </w:r>
      <w:r w:rsidRPr="00E75D83">
        <w:rPr>
          <w:sz w:val="20"/>
          <w:rtl/>
        </w:rPr>
        <w:t>,</w:t>
      </w:r>
      <w:r w:rsidRPr="00E75D83">
        <w:rPr>
          <w:sz w:val="20"/>
        </w:rPr>
        <w:t xml:space="preserve"> </w:t>
      </w:r>
      <w:r w:rsidRPr="00E75D83">
        <w:rPr>
          <w:sz w:val="20"/>
          <w:rtl/>
        </w:rPr>
        <w:t>הייתה מעורבת בעריכתה.</w:t>
      </w:r>
    </w:p>
  </w:footnote>
  <w:footnote w:id="62">
    <w:p w14:paraId="14006F1A" w14:textId="18390199" w:rsidR="00063AE7" w:rsidRPr="00E75D83" w:rsidRDefault="00063AE7" w:rsidP="003840C3">
      <w:pPr>
        <w:pStyle w:val="a4"/>
        <w:ind w:left="84" w:hanging="142"/>
        <w:jc w:val="both"/>
        <w:rPr>
          <w:sz w:val="20"/>
          <w:rtl/>
        </w:rPr>
      </w:pPr>
      <w:r w:rsidRPr="00D038D0">
        <w:rPr>
          <w:rStyle w:val="a3"/>
          <w:rFonts w:asciiTheme="majorBidi" w:hAnsiTheme="majorBidi" w:cstheme="majorBidi"/>
          <w:sz w:val="20"/>
        </w:rPr>
        <w:footnoteRef/>
      </w:r>
      <w:r w:rsidRPr="00D038D0">
        <w:rPr>
          <w:rFonts w:asciiTheme="majorBidi" w:hAnsiTheme="majorBidi" w:cstheme="majorBidi"/>
          <w:sz w:val="20"/>
          <w:vertAlign w:val="superscript"/>
          <w:rtl/>
        </w:rPr>
        <w:t xml:space="preserve"> </w:t>
      </w:r>
      <w:r w:rsidR="00BF7A46" w:rsidRPr="00BF7A46">
        <w:rPr>
          <w:rFonts w:ascii="David" w:hAnsi="David"/>
          <w:sz w:val="20"/>
          <w:rtl/>
        </w:rPr>
        <w:t xml:space="preserve">שם, בעמ' 791 </w:t>
      </w:r>
      <w:r w:rsidRPr="00BF7A46">
        <w:rPr>
          <w:rFonts w:ascii="David" w:hAnsi="David"/>
          <w:sz w:val="20"/>
          <w:rtl/>
        </w:rPr>
        <w:t>השופט</w:t>
      </w:r>
      <w:r w:rsidRPr="00E75D83">
        <w:rPr>
          <w:sz w:val="20"/>
          <w:rtl/>
        </w:rPr>
        <w:t xml:space="preserve"> </w:t>
      </w:r>
      <w:proofErr w:type="spellStart"/>
      <w:r w:rsidRPr="00E75D83">
        <w:rPr>
          <w:sz w:val="20"/>
          <w:rtl/>
        </w:rPr>
        <w:t>בייסקי</w:t>
      </w:r>
      <w:proofErr w:type="spellEnd"/>
      <w:r w:rsidRPr="00E75D83">
        <w:rPr>
          <w:sz w:val="20"/>
          <w:rtl/>
        </w:rPr>
        <w:t xml:space="preserve">, אשר הצטרף לדעתו של </w:t>
      </w:r>
      <w:r>
        <w:rPr>
          <w:rFonts w:hint="cs"/>
          <w:sz w:val="20"/>
          <w:rtl/>
        </w:rPr>
        <w:t xml:space="preserve">השופט </w:t>
      </w:r>
      <w:r w:rsidRPr="00E75D83">
        <w:rPr>
          <w:sz w:val="20"/>
          <w:rtl/>
        </w:rPr>
        <w:t xml:space="preserve">ברק, הסתפק בקביעה כי: "לעניין שלפנינו, אין צורך להרכיב את ס' 30 לחוק החוזים (חלק כללי) על דיני צוואות. לעניין שלנו די לנו, כאשר סומכים אנו על העיקרון של תקנת הציבור, שקנה שביתה בשיטת המשפט שלנו והוא חלק ממנה, בין אם בהקשר לסוגיה מסוימת הוא כתוב על ספר החוקים ובין אם לאו". </w:t>
      </w:r>
    </w:p>
  </w:footnote>
  <w:footnote w:id="63">
    <w:p w14:paraId="6FB2E447" w14:textId="77777777" w:rsidR="00063AE7" w:rsidRPr="00E75D83" w:rsidRDefault="00063AE7" w:rsidP="00D15E62">
      <w:pPr>
        <w:pStyle w:val="a4"/>
        <w:jc w:val="both"/>
        <w:rPr>
          <w:sz w:val="20"/>
        </w:rPr>
      </w:pPr>
      <w:r w:rsidRPr="00E75D83">
        <w:rPr>
          <w:rStyle w:val="a3"/>
          <w:sz w:val="20"/>
          <w:rtl/>
        </w:rPr>
        <w:footnoteRef/>
      </w:r>
      <w:r w:rsidRPr="00E75D83">
        <w:rPr>
          <w:sz w:val="20"/>
          <w:rtl/>
        </w:rPr>
        <w:t xml:space="preserve"> </w:t>
      </w:r>
      <w:r w:rsidRPr="00E75D83">
        <w:rPr>
          <w:sz w:val="20"/>
          <w:rtl/>
        </w:rPr>
        <w:t xml:space="preserve">שם, בעמ' 784–785. </w:t>
      </w:r>
    </w:p>
  </w:footnote>
  <w:footnote w:id="64">
    <w:p w14:paraId="3CEC5B99"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שם</w:t>
      </w:r>
      <w:r w:rsidRPr="00E75D83">
        <w:rPr>
          <w:sz w:val="20"/>
          <w:rtl/>
        </w:rPr>
        <w:t xml:space="preserve">, </w:t>
      </w:r>
      <w:r w:rsidRPr="00E75D83">
        <w:rPr>
          <w:rFonts w:hint="eastAsia"/>
          <w:sz w:val="20"/>
          <w:rtl/>
        </w:rPr>
        <w:t>בעמ</w:t>
      </w:r>
      <w:r w:rsidRPr="00E75D83">
        <w:rPr>
          <w:sz w:val="20"/>
          <w:rtl/>
        </w:rPr>
        <w:t>' 781.</w:t>
      </w:r>
    </w:p>
  </w:footnote>
  <w:footnote w:id="65">
    <w:p w14:paraId="5282D452" w14:textId="3F5182F9" w:rsidR="00063AE7" w:rsidRPr="00E75D83" w:rsidRDefault="00063AE7" w:rsidP="004F33E3">
      <w:pPr>
        <w:pStyle w:val="a4"/>
        <w:jc w:val="both"/>
        <w:rPr>
          <w:sz w:val="20"/>
        </w:rPr>
      </w:pPr>
      <w:r w:rsidRPr="00E75D83">
        <w:rPr>
          <w:rStyle w:val="a3"/>
          <w:sz w:val="20"/>
        </w:rPr>
        <w:footnoteRef/>
      </w:r>
      <w:r w:rsidRPr="00E75D83">
        <w:rPr>
          <w:sz w:val="20"/>
          <w:rtl/>
        </w:rPr>
        <w:t xml:space="preserve"> </w:t>
      </w:r>
      <w:r w:rsidRPr="00E75D83">
        <w:rPr>
          <w:rFonts w:hint="eastAsia"/>
          <w:sz w:val="20"/>
          <w:rtl/>
        </w:rPr>
        <w:t>מנגד</w:t>
      </w:r>
      <w:r w:rsidRPr="00E75D83">
        <w:rPr>
          <w:sz w:val="20"/>
          <w:rtl/>
        </w:rPr>
        <w:t xml:space="preserve">, </w:t>
      </w:r>
      <w:r w:rsidRPr="00E75D83">
        <w:rPr>
          <w:rFonts w:hint="eastAsia"/>
          <w:sz w:val="20"/>
          <w:rtl/>
        </w:rPr>
        <w:t>כאשר</w:t>
      </w:r>
      <w:r w:rsidRPr="00E75D83">
        <w:rPr>
          <w:sz w:val="20"/>
          <w:rtl/>
        </w:rPr>
        <w:t xml:space="preserve"> </w:t>
      </w:r>
      <w:r w:rsidRPr="00E75D83">
        <w:rPr>
          <w:rFonts w:hint="eastAsia"/>
          <w:sz w:val="20"/>
          <w:rtl/>
        </w:rPr>
        <w:t>מתקיים</w:t>
      </w:r>
      <w:r w:rsidRPr="00E75D83">
        <w:rPr>
          <w:sz w:val="20"/>
          <w:rtl/>
        </w:rPr>
        <w:t xml:space="preserve"> </w:t>
      </w:r>
      <w:r w:rsidRPr="00E75D83">
        <w:rPr>
          <w:rFonts w:hint="eastAsia"/>
          <w:sz w:val="20"/>
          <w:rtl/>
        </w:rPr>
        <w:t>הליך</w:t>
      </w:r>
      <w:r w:rsidRPr="00E75D83">
        <w:rPr>
          <w:sz w:val="20"/>
          <w:rtl/>
        </w:rPr>
        <w:t xml:space="preserve"> </w:t>
      </w:r>
      <w:r w:rsidRPr="00E75D83">
        <w:rPr>
          <w:rFonts w:hint="eastAsia"/>
          <w:sz w:val="20"/>
          <w:rtl/>
        </w:rPr>
        <w:t>פומבי</w:t>
      </w:r>
      <w:r w:rsidRPr="00E75D83">
        <w:rPr>
          <w:sz w:val="20"/>
          <w:rtl/>
        </w:rPr>
        <w:t xml:space="preserve"> </w:t>
      </w:r>
      <w:r w:rsidRPr="00E75D83">
        <w:rPr>
          <w:rFonts w:hint="eastAsia"/>
          <w:sz w:val="20"/>
          <w:rtl/>
        </w:rPr>
        <w:t>בבית</w:t>
      </w:r>
      <w:r>
        <w:rPr>
          <w:rFonts w:hint="cs"/>
          <w:sz w:val="20"/>
          <w:rtl/>
        </w:rPr>
        <w:t xml:space="preserve"> </w:t>
      </w:r>
      <w:r w:rsidRPr="00E75D83">
        <w:rPr>
          <w:sz w:val="20"/>
          <w:rtl/>
        </w:rPr>
        <w:t xml:space="preserve">המשפט, </w:t>
      </w:r>
      <w:r w:rsidRPr="00E75D83">
        <w:rPr>
          <w:rFonts w:hint="eastAsia"/>
          <w:sz w:val="20"/>
          <w:rtl/>
        </w:rPr>
        <w:t>מסוכל</w:t>
      </w:r>
      <w:r w:rsidRPr="00E75D83">
        <w:rPr>
          <w:sz w:val="20"/>
          <w:rtl/>
        </w:rPr>
        <w:t xml:space="preserve"> </w:t>
      </w:r>
      <w:r w:rsidRPr="00E75D83">
        <w:rPr>
          <w:rFonts w:hint="eastAsia"/>
          <w:sz w:val="20"/>
          <w:rtl/>
        </w:rPr>
        <w:t>הרצון</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המצווה</w:t>
      </w:r>
      <w:r w:rsidRPr="00E75D83">
        <w:rPr>
          <w:sz w:val="20"/>
          <w:rtl/>
        </w:rPr>
        <w:t xml:space="preserve"> </w:t>
      </w:r>
      <w:r w:rsidRPr="00E75D83">
        <w:rPr>
          <w:rFonts w:hint="eastAsia"/>
          <w:sz w:val="20"/>
          <w:rtl/>
        </w:rPr>
        <w:t>לשמור</w:t>
      </w:r>
      <w:r w:rsidRPr="00E75D83">
        <w:rPr>
          <w:sz w:val="20"/>
          <w:rtl/>
        </w:rPr>
        <w:t xml:space="preserve"> </w:t>
      </w:r>
      <w:r w:rsidRPr="00E75D83">
        <w:rPr>
          <w:rFonts w:hint="eastAsia"/>
          <w:sz w:val="20"/>
          <w:rtl/>
        </w:rPr>
        <w:t>על</w:t>
      </w:r>
      <w:r w:rsidRPr="00E75D83">
        <w:rPr>
          <w:sz w:val="20"/>
          <w:rtl/>
        </w:rPr>
        <w:t xml:space="preserve"> </w:t>
      </w:r>
      <w:r w:rsidRPr="00E75D83">
        <w:rPr>
          <w:rFonts w:hint="eastAsia"/>
          <w:sz w:val="20"/>
          <w:rtl/>
        </w:rPr>
        <w:t>פרטיות</w:t>
      </w:r>
      <w:r w:rsidRPr="00E75D83">
        <w:rPr>
          <w:sz w:val="20"/>
          <w:rtl/>
        </w:rPr>
        <w:t xml:space="preserve"> </w:t>
      </w:r>
      <w:r w:rsidRPr="00E75D83">
        <w:rPr>
          <w:rFonts w:hint="eastAsia"/>
          <w:sz w:val="20"/>
          <w:rtl/>
        </w:rPr>
        <w:t>התא</w:t>
      </w:r>
      <w:r w:rsidRPr="00E75D83">
        <w:rPr>
          <w:sz w:val="20"/>
          <w:rtl/>
        </w:rPr>
        <w:t xml:space="preserve"> </w:t>
      </w:r>
      <w:r w:rsidRPr="00E75D83">
        <w:rPr>
          <w:rFonts w:hint="eastAsia"/>
          <w:sz w:val="20"/>
          <w:rtl/>
        </w:rPr>
        <w:t>המשפחתי</w:t>
      </w:r>
      <w:r w:rsidRPr="00E75D83">
        <w:rPr>
          <w:sz w:val="20"/>
          <w:rtl/>
        </w:rPr>
        <w:t>.</w:t>
      </w:r>
    </w:p>
  </w:footnote>
  <w:footnote w:id="66">
    <w:p w14:paraId="00184288" w14:textId="77777777" w:rsidR="00063AE7" w:rsidRPr="00E75D83" w:rsidRDefault="00063AE7" w:rsidP="00020AC2">
      <w:pPr>
        <w:pStyle w:val="a4"/>
        <w:jc w:val="both"/>
        <w:rPr>
          <w:sz w:val="20"/>
        </w:rPr>
      </w:pPr>
      <w:r w:rsidRPr="00E75D83">
        <w:rPr>
          <w:rStyle w:val="a3"/>
          <w:sz w:val="20"/>
          <w:rtl/>
        </w:rPr>
        <w:footnoteRef/>
      </w:r>
      <w:r w:rsidRPr="00E75D83">
        <w:rPr>
          <w:sz w:val="20"/>
          <w:rtl/>
        </w:rPr>
        <w:t xml:space="preserve"> </w:t>
      </w:r>
      <w:r w:rsidRPr="00E75D83">
        <w:rPr>
          <w:rFonts w:hint="eastAsia"/>
          <w:sz w:val="20"/>
          <w:rtl/>
        </w:rPr>
        <w:t>עניין</w:t>
      </w:r>
      <w:r w:rsidRPr="00E75D83">
        <w:rPr>
          <w:sz w:val="20"/>
          <w:rtl/>
        </w:rPr>
        <w:t xml:space="preserve"> </w:t>
      </w:r>
      <w:r w:rsidRPr="00E75D83">
        <w:rPr>
          <w:rFonts w:hint="eastAsia"/>
          <w:b/>
          <w:bCs/>
          <w:sz w:val="20"/>
          <w:rtl/>
        </w:rPr>
        <w:t>אנגלמן</w:t>
      </w:r>
      <w:r w:rsidRPr="00E75D83">
        <w:rPr>
          <w:sz w:val="20"/>
          <w:rtl/>
        </w:rPr>
        <w:t xml:space="preserve">, </w:t>
      </w:r>
      <w:r w:rsidRPr="00E75D83">
        <w:rPr>
          <w:rFonts w:hint="eastAsia"/>
          <w:sz w:val="20"/>
          <w:rtl/>
        </w:rPr>
        <w:t>לעיל</w:t>
      </w:r>
      <w:r w:rsidRPr="00E75D83">
        <w:rPr>
          <w:sz w:val="20"/>
          <w:rtl/>
        </w:rPr>
        <w:t xml:space="preserve"> </w:t>
      </w:r>
      <w:proofErr w:type="spellStart"/>
      <w:r w:rsidRPr="00E75D83">
        <w:rPr>
          <w:rFonts w:hint="eastAsia"/>
          <w:sz w:val="20"/>
          <w:rtl/>
        </w:rPr>
        <w:t>ה</w:t>
      </w:r>
      <w:r w:rsidRPr="00E75D83">
        <w:rPr>
          <w:sz w:val="20"/>
          <w:rtl/>
        </w:rPr>
        <w:t>"ש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Ref525831963 \h</w:instrText>
      </w:r>
      <w:r>
        <w:rPr>
          <w:sz w:val="20"/>
          <w:rtl/>
        </w:rPr>
        <w:instrText xml:space="preserve"> </w:instrText>
      </w:r>
      <w:r>
        <w:rPr>
          <w:sz w:val="20"/>
          <w:rtl/>
        </w:rPr>
      </w:r>
      <w:r>
        <w:rPr>
          <w:sz w:val="20"/>
          <w:rtl/>
        </w:rPr>
        <w:fldChar w:fldCharType="separate"/>
      </w:r>
      <w:r>
        <w:rPr>
          <w:sz w:val="20"/>
          <w:rtl/>
        </w:rPr>
        <w:t>60</w:t>
      </w:r>
      <w:r>
        <w:rPr>
          <w:sz w:val="20"/>
          <w:rtl/>
        </w:rPr>
        <w:fldChar w:fldCharType="end"/>
      </w:r>
      <w:r w:rsidRPr="00E75D83">
        <w:rPr>
          <w:sz w:val="20"/>
          <w:rtl/>
        </w:rPr>
        <w:t>,בעמ' 786.</w:t>
      </w:r>
    </w:p>
  </w:footnote>
  <w:footnote w:id="67">
    <w:p w14:paraId="3DBD0EBC" w14:textId="77777777" w:rsidR="00063AE7" w:rsidRPr="00E75D83" w:rsidRDefault="00063AE7" w:rsidP="003C0B63">
      <w:pPr>
        <w:pStyle w:val="a4"/>
        <w:jc w:val="both"/>
        <w:rPr>
          <w:sz w:val="20"/>
          <w:rtl/>
        </w:rPr>
      </w:pPr>
      <w:r w:rsidRPr="00E75D83">
        <w:rPr>
          <w:rStyle w:val="a3"/>
          <w:sz w:val="20"/>
          <w:rtl/>
        </w:rPr>
        <w:footnoteRef/>
      </w:r>
      <w:r w:rsidRPr="00E75D83">
        <w:rPr>
          <w:sz w:val="20"/>
          <w:rtl/>
        </w:rPr>
        <w:t xml:space="preserve"> שם, בעמ' 787;</w:t>
      </w:r>
      <w:r w:rsidRPr="00E75D83">
        <w:rPr>
          <w:sz w:val="20"/>
        </w:rPr>
        <w:t xml:space="preserve"> </w:t>
      </w:r>
      <w:r w:rsidRPr="00E75D83">
        <w:rPr>
          <w:sz w:val="20"/>
          <w:rtl/>
        </w:rPr>
        <w:t>לפתרון זה הצטרף השופט בייסקי. שם, בעמ' 790.</w:t>
      </w:r>
    </w:p>
  </w:footnote>
  <w:footnote w:id="68">
    <w:p w14:paraId="18EB0609" w14:textId="2DD696DA" w:rsidR="00063AE7" w:rsidRPr="00D038D0" w:rsidRDefault="00063AE7" w:rsidP="00C901D4">
      <w:pPr>
        <w:pStyle w:val="a4"/>
        <w:jc w:val="both"/>
        <w:rPr>
          <w:sz w:val="20"/>
        </w:rPr>
      </w:pPr>
      <w:r w:rsidRPr="00D038D0">
        <w:rPr>
          <w:rStyle w:val="a3"/>
          <w:sz w:val="20"/>
        </w:rPr>
        <w:footnoteRef/>
      </w:r>
      <w:r w:rsidRPr="00D038D0">
        <w:rPr>
          <w:sz w:val="20"/>
          <w:rtl/>
        </w:rPr>
        <w:t xml:space="preserve"> </w:t>
      </w:r>
      <w:r w:rsidRPr="00D038D0">
        <w:rPr>
          <w:rFonts w:hint="eastAsia"/>
          <w:sz w:val="20"/>
          <w:rtl/>
        </w:rPr>
        <w:t>לדוגמה</w:t>
      </w:r>
      <w:r w:rsidRPr="00D038D0">
        <w:rPr>
          <w:sz w:val="20"/>
          <w:rtl/>
        </w:rPr>
        <w:t xml:space="preserve"> כיצד בודק בית המשפט הלכה למעשה את תום ליבו של היורש ראו דבריו של השופט שוחט </w:t>
      </w:r>
      <w:r w:rsidRPr="00D038D0">
        <w:rPr>
          <w:rFonts w:hint="eastAsia"/>
          <w:sz w:val="20"/>
          <w:rtl/>
        </w:rPr>
        <w:t>בעניין</w:t>
      </w:r>
      <w:r w:rsidRPr="00D038D0">
        <w:rPr>
          <w:sz w:val="20"/>
          <w:rtl/>
        </w:rPr>
        <w:t xml:space="preserve"> </w:t>
      </w:r>
      <w:r w:rsidRPr="00D038D0">
        <w:rPr>
          <w:rFonts w:hint="eastAsia"/>
          <w:b/>
          <w:bCs/>
          <w:sz w:val="20"/>
          <w:rtl/>
        </w:rPr>
        <w:t>י</w:t>
      </w:r>
      <w:r w:rsidRPr="00D038D0">
        <w:rPr>
          <w:b/>
          <w:bCs/>
          <w:sz w:val="20"/>
          <w:rtl/>
        </w:rPr>
        <w:t xml:space="preserve">' </w:t>
      </w:r>
      <w:r w:rsidRPr="00D038D0">
        <w:rPr>
          <w:rFonts w:hint="eastAsia"/>
          <w:b/>
          <w:bCs/>
          <w:sz w:val="20"/>
          <w:rtl/>
        </w:rPr>
        <w:t>ד</w:t>
      </w:r>
      <w:r w:rsidRPr="00D038D0">
        <w:rPr>
          <w:b/>
          <w:bCs/>
          <w:sz w:val="20"/>
          <w:rtl/>
        </w:rPr>
        <w:t>'</w:t>
      </w:r>
      <w:r w:rsidRPr="00D038D0">
        <w:rPr>
          <w:sz w:val="20"/>
          <w:rtl/>
        </w:rPr>
        <w:t xml:space="preserve">, לעיל </w:t>
      </w:r>
      <w:proofErr w:type="spellStart"/>
      <w:r w:rsidRPr="00D038D0">
        <w:rPr>
          <w:sz w:val="20"/>
          <w:rtl/>
        </w:rPr>
        <w:t>ה"ש</w:t>
      </w:r>
      <w:proofErr w:type="spellEnd"/>
      <w:r w:rsidRPr="00D038D0">
        <w:rPr>
          <w:sz w:val="20"/>
          <w:rtl/>
        </w:rPr>
        <w:t xml:space="preserve"> </w:t>
      </w:r>
      <w:r w:rsidRPr="00D038D0">
        <w:rPr>
          <w:sz w:val="20"/>
          <w:rtl/>
        </w:rPr>
        <w:fldChar w:fldCharType="begin"/>
      </w:r>
      <w:r w:rsidRPr="00D038D0">
        <w:rPr>
          <w:sz w:val="20"/>
          <w:rtl/>
        </w:rPr>
        <w:instrText xml:space="preserve"> </w:instrText>
      </w:r>
      <w:r w:rsidRPr="00D038D0">
        <w:rPr>
          <w:sz w:val="20"/>
        </w:rPr>
        <w:instrText>NOTEREF</w:instrText>
      </w:r>
      <w:r w:rsidRPr="00D038D0">
        <w:rPr>
          <w:sz w:val="20"/>
          <w:rtl/>
        </w:rPr>
        <w:instrText xml:space="preserve"> _</w:instrText>
      </w:r>
      <w:r w:rsidRPr="00D038D0">
        <w:rPr>
          <w:sz w:val="20"/>
        </w:rPr>
        <w:instrText>Ref506674235 \h</w:instrText>
      </w:r>
      <w:r w:rsidRPr="00D038D0">
        <w:rPr>
          <w:sz w:val="20"/>
          <w:rtl/>
        </w:rPr>
        <w:instrText xml:space="preserve">  \* </w:instrText>
      </w:r>
      <w:r w:rsidRPr="00D038D0">
        <w:rPr>
          <w:sz w:val="20"/>
        </w:rPr>
        <w:instrText>MERGEFORMAT</w:instrText>
      </w:r>
      <w:r w:rsidRPr="00D038D0">
        <w:rPr>
          <w:sz w:val="20"/>
          <w:rtl/>
        </w:rPr>
        <w:instrText xml:space="preserve"> </w:instrText>
      </w:r>
      <w:r w:rsidRPr="00D038D0">
        <w:rPr>
          <w:sz w:val="20"/>
          <w:rtl/>
        </w:rPr>
      </w:r>
      <w:r w:rsidRPr="00D038D0">
        <w:rPr>
          <w:sz w:val="20"/>
          <w:rtl/>
        </w:rPr>
        <w:fldChar w:fldCharType="separate"/>
      </w:r>
      <w:r>
        <w:rPr>
          <w:sz w:val="20"/>
          <w:rtl/>
        </w:rPr>
        <w:t>3</w:t>
      </w:r>
      <w:r w:rsidRPr="00D038D0">
        <w:rPr>
          <w:sz w:val="20"/>
          <w:rtl/>
        </w:rPr>
        <w:fldChar w:fldCharType="end"/>
      </w:r>
      <w:r w:rsidRPr="00D038D0">
        <w:rPr>
          <w:sz w:val="20"/>
          <w:rtl/>
        </w:rPr>
        <w:t xml:space="preserve">, </w:t>
      </w:r>
      <w:r w:rsidRPr="00D038D0">
        <w:rPr>
          <w:rFonts w:hint="eastAsia"/>
          <w:sz w:val="20"/>
          <w:rtl/>
        </w:rPr>
        <w:t>פס</w:t>
      </w:r>
      <w:r w:rsidRPr="00D038D0">
        <w:rPr>
          <w:sz w:val="20"/>
          <w:rtl/>
        </w:rPr>
        <w:t xml:space="preserve">' 11 </w:t>
      </w:r>
      <w:r w:rsidRPr="00D038D0">
        <w:rPr>
          <w:rFonts w:hint="eastAsia"/>
          <w:sz w:val="20"/>
          <w:rtl/>
        </w:rPr>
        <w:t>לפסק</w:t>
      </w:r>
      <w:r w:rsidRPr="00D038D0">
        <w:rPr>
          <w:sz w:val="20"/>
          <w:rtl/>
        </w:rPr>
        <w:t xml:space="preserve"> </w:t>
      </w:r>
      <w:r w:rsidR="00BF7A46">
        <w:rPr>
          <w:rFonts w:hint="cs"/>
          <w:sz w:val="20"/>
          <w:rtl/>
        </w:rPr>
        <w:t>דינו של השופט שוחט</w:t>
      </w:r>
      <w:r w:rsidRPr="00D038D0">
        <w:rPr>
          <w:sz w:val="20"/>
          <w:rtl/>
        </w:rPr>
        <w:t xml:space="preserve">: "נראה, </w:t>
      </w:r>
      <w:r w:rsidRPr="00D038D0">
        <w:rPr>
          <w:rFonts w:hint="eastAsia"/>
          <w:sz w:val="20"/>
          <w:rtl/>
        </w:rPr>
        <w:t>אפוא</w:t>
      </w:r>
      <w:r w:rsidRPr="00D038D0">
        <w:rPr>
          <w:sz w:val="20"/>
          <w:rtl/>
        </w:rPr>
        <w:t xml:space="preserve">, </w:t>
      </w:r>
      <w:r w:rsidRPr="00D038D0">
        <w:rPr>
          <w:rFonts w:hint="eastAsia"/>
          <w:sz w:val="20"/>
          <w:rtl/>
        </w:rPr>
        <w:t>כי</w:t>
      </w:r>
      <w:r w:rsidRPr="00D038D0">
        <w:rPr>
          <w:sz w:val="20"/>
          <w:rtl/>
        </w:rPr>
        <w:t xml:space="preserve"> </w:t>
      </w:r>
      <w:r w:rsidRPr="00D038D0">
        <w:rPr>
          <w:rFonts w:hint="eastAsia"/>
          <w:sz w:val="20"/>
          <w:rtl/>
        </w:rPr>
        <w:t>בין</w:t>
      </w:r>
      <w:r w:rsidRPr="00D038D0">
        <w:rPr>
          <w:sz w:val="20"/>
          <w:rtl/>
        </w:rPr>
        <w:t xml:space="preserve"> </w:t>
      </w:r>
      <w:r w:rsidRPr="00D038D0">
        <w:rPr>
          <w:rFonts w:hint="eastAsia"/>
          <w:sz w:val="20"/>
          <w:rtl/>
        </w:rPr>
        <w:t>הסממנים</w:t>
      </w:r>
      <w:r w:rsidRPr="00D038D0">
        <w:rPr>
          <w:sz w:val="20"/>
          <w:rtl/>
        </w:rPr>
        <w:t xml:space="preserve"> </w:t>
      </w:r>
      <w:r w:rsidRPr="00D038D0">
        <w:rPr>
          <w:rFonts w:hint="eastAsia"/>
          <w:sz w:val="20"/>
          <w:rtl/>
        </w:rPr>
        <w:t>לאפיון</w:t>
      </w:r>
      <w:r w:rsidRPr="00D038D0">
        <w:rPr>
          <w:sz w:val="20"/>
          <w:rtl/>
        </w:rPr>
        <w:t xml:space="preserve"> </w:t>
      </w:r>
      <w:r w:rsidRPr="00D038D0">
        <w:rPr>
          <w:rFonts w:hint="eastAsia"/>
          <w:sz w:val="20"/>
          <w:rtl/>
        </w:rPr>
        <w:t>האמור</w:t>
      </w:r>
      <w:r w:rsidRPr="00D038D0">
        <w:rPr>
          <w:sz w:val="20"/>
          <w:rtl/>
        </w:rPr>
        <w:t xml:space="preserve"> </w:t>
      </w:r>
      <w:r w:rsidRPr="00D038D0">
        <w:rPr>
          <w:rFonts w:hint="eastAsia"/>
          <w:sz w:val="20"/>
          <w:rtl/>
        </w:rPr>
        <w:t>ניתן</w:t>
      </w:r>
      <w:r w:rsidRPr="00D038D0">
        <w:rPr>
          <w:sz w:val="20"/>
          <w:rtl/>
        </w:rPr>
        <w:t xml:space="preserve"> </w:t>
      </w:r>
      <w:r w:rsidRPr="00D038D0">
        <w:rPr>
          <w:rFonts w:hint="eastAsia"/>
          <w:sz w:val="20"/>
          <w:rtl/>
        </w:rPr>
        <w:t>להצביע</w:t>
      </w:r>
      <w:r w:rsidRPr="00D038D0">
        <w:rPr>
          <w:sz w:val="20"/>
          <w:rtl/>
        </w:rPr>
        <w:t xml:space="preserve"> </w:t>
      </w:r>
      <w:r w:rsidRPr="00D038D0">
        <w:rPr>
          <w:rFonts w:hint="eastAsia"/>
          <w:sz w:val="20"/>
          <w:rtl/>
        </w:rPr>
        <w:t>על</w:t>
      </w:r>
      <w:r w:rsidRPr="00D038D0">
        <w:rPr>
          <w:sz w:val="20"/>
          <w:rtl/>
        </w:rPr>
        <w:t xml:space="preserve"> </w:t>
      </w:r>
      <w:r w:rsidRPr="00D038D0">
        <w:rPr>
          <w:rFonts w:hint="eastAsia"/>
          <w:sz w:val="20"/>
          <w:rtl/>
        </w:rPr>
        <w:t>הפער</w:t>
      </w:r>
      <w:r w:rsidRPr="00D038D0">
        <w:rPr>
          <w:sz w:val="20"/>
          <w:rtl/>
        </w:rPr>
        <w:t xml:space="preserve"> </w:t>
      </w:r>
      <w:r w:rsidRPr="00D038D0">
        <w:rPr>
          <w:rFonts w:hint="eastAsia"/>
          <w:sz w:val="20"/>
          <w:rtl/>
        </w:rPr>
        <w:t>בין</w:t>
      </w:r>
      <w:r w:rsidRPr="00D038D0">
        <w:rPr>
          <w:sz w:val="20"/>
          <w:rtl/>
        </w:rPr>
        <w:t xml:space="preserve"> </w:t>
      </w:r>
      <w:r w:rsidRPr="00D038D0">
        <w:rPr>
          <w:rFonts w:hint="eastAsia"/>
          <w:sz w:val="20"/>
          <w:rtl/>
        </w:rPr>
        <w:t>טיב</w:t>
      </w:r>
      <w:r w:rsidRPr="00D038D0">
        <w:rPr>
          <w:sz w:val="20"/>
          <w:rtl/>
        </w:rPr>
        <w:t xml:space="preserve"> </w:t>
      </w:r>
      <w:r w:rsidRPr="00D038D0">
        <w:rPr>
          <w:rFonts w:hint="eastAsia"/>
          <w:sz w:val="20"/>
          <w:rtl/>
        </w:rPr>
        <w:t>הטענות</w:t>
      </w:r>
      <w:r w:rsidRPr="00D038D0">
        <w:rPr>
          <w:sz w:val="20"/>
          <w:rtl/>
        </w:rPr>
        <w:t xml:space="preserve"> </w:t>
      </w:r>
      <w:r w:rsidRPr="00D038D0">
        <w:rPr>
          <w:rFonts w:hint="eastAsia"/>
          <w:sz w:val="20"/>
          <w:rtl/>
        </w:rPr>
        <w:t>שנטענו</w:t>
      </w:r>
      <w:r w:rsidRPr="00D038D0">
        <w:rPr>
          <w:sz w:val="20"/>
          <w:rtl/>
        </w:rPr>
        <w:t xml:space="preserve"> </w:t>
      </w:r>
      <w:r w:rsidRPr="00D038D0">
        <w:rPr>
          <w:rFonts w:hint="eastAsia"/>
          <w:sz w:val="20"/>
          <w:rtl/>
        </w:rPr>
        <w:t>בכתב</w:t>
      </w:r>
      <w:r w:rsidRPr="00D038D0">
        <w:rPr>
          <w:sz w:val="20"/>
          <w:rtl/>
        </w:rPr>
        <w:t xml:space="preserve"> </w:t>
      </w:r>
      <w:r w:rsidRPr="00D038D0">
        <w:rPr>
          <w:rFonts w:hint="eastAsia"/>
          <w:sz w:val="20"/>
          <w:rtl/>
        </w:rPr>
        <w:t>ההתנגדות</w:t>
      </w:r>
      <w:r w:rsidRPr="00D038D0">
        <w:rPr>
          <w:sz w:val="20"/>
          <w:rtl/>
        </w:rPr>
        <w:t xml:space="preserve"> </w:t>
      </w:r>
      <w:r w:rsidRPr="00D038D0">
        <w:rPr>
          <w:rFonts w:hint="eastAsia"/>
          <w:sz w:val="20"/>
          <w:rtl/>
        </w:rPr>
        <w:t>לראיות</w:t>
      </w:r>
      <w:r w:rsidRPr="00D038D0">
        <w:rPr>
          <w:sz w:val="20"/>
          <w:rtl/>
        </w:rPr>
        <w:t xml:space="preserve"> </w:t>
      </w:r>
      <w:r w:rsidRPr="00D038D0">
        <w:rPr>
          <w:rFonts w:hint="eastAsia"/>
          <w:sz w:val="20"/>
          <w:rtl/>
        </w:rPr>
        <w:t>שהובאו</w:t>
      </w:r>
      <w:r w:rsidRPr="00D038D0">
        <w:rPr>
          <w:sz w:val="20"/>
          <w:rtl/>
        </w:rPr>
        <w:t xml:space="preserve"> </w:t>
      </w:r>
      <w:r w:rsidRPr="00D038D0">
        <w:rPr>
          <w:rFonts w:hint="eastAsia"/>
          <w:sz w:val="20"/>
          <w:rtl/>
        </w:rPr>
        <w:t>לביסוסן</w:t>
      </w:r>
      <w:r w:rsidRPr="00D038D0">
        <w:rPr>
          <w:sz w:val="20"/>
          <w:rtl/>
        </w:rPr>
        <w:t xml:space="preserve">. </w:t>
      </w:r>
      <w:r w:rsidRPr="00D038D0">
        <w:rPr>
          <w:rFonts w:hint="eastAsia"/>
          <w:sz w:val="20"/>
          <w:rtl/>
        </w:rPr>
        <w:t>ככל</w:t>
      </w:r>
      <w:r w:rsidRPr="00D038D0">
        <w:rPr>
          <w:sz w:val="20"/>
          <w:rtl/>
        </w:rPr>
        <w:t xml:space="preserve"> </w:t>
      </w:r>
      <w:r w:rsidRPr="00D038D0">
        <w:rPr>
          <w:rFonts w:hint="eastAsia"/>
          <w:sz w:val="20"/>
          <w:rtl/>
        </w:rPr>
        <w:t>שהפער</w:t>
      </w:r>
      <w:r w:rsidRPr="00D038D0">
        <w:rPr>
          <w:sz w:val="20"/>
          <w:rtl/>
        </w:rPr>
        <w:t xml:space="preserve"> </w:t>
      </w:r>
      <w:r w:rsidRPr="00D038D0">
        <w:rPr>
          <w:rFonts w:hint="eastAsia"/>
          <w:sz w:val="20"/>
          <w:rtl/>
        </w:rPr>
        <w:t>גדול</w:t>
      </w:r>
      <w:r w:rsidRPr="00D038D0">
        <w:rPr>
          <w:sz w:val="20"/>
          <w:rtl/>
        </w:rPr>
        <w:t xml:space="preserve"> </w:t>
      </w:r>
      <w:r w:rsidRPr="00D038D0">
        <w:rPr>
          <w:rFonts w:hint="eastAsia"/>
          <w:sz w:val="20"/>
          <w:rtl/>
        </w:rPr>
        <w:t>יותר</w:t>
      </w:r>
      <w:r w:rsidRPr="00D038D0">
        <w:rPr>
          <w:sz w:val="20"/>
          <w:rtl/>
        </w:rPr>
        <w:t xml:space="preserve"> </w:t>
      </w:r>
      <w:r w:rsidRPr="00D038D0">
        <w:rPr>
          <w:rFonts w:hint="eastAsia"/>
          <w:sz w:val="20"/>
          <w:rtl/>
        </w:rPr>
        <w:t>כך</w:t>
      </w:r>
      <w:r w:rsidRPr="00D038D0">
        <w:rPr>
          <w:sz w:val="20"/>
          <w:rtl/>
        </w:rPr>
        <w:t xml:space="preserve"> </w:t>
      </w:r>
      <w:r w:rsidRPr="00D038D0">
        <w:rPr>
          <w:rFonts w:hint="eastAsia"/>
          <w:sz w:val="20"/>
          <w:rtl/>
        </w:rPr>
        <w:t>תתחזק</w:t>
      </w:r>
      <w:r w:rsidRPr="00D038D0">
        <w:rPr>
          <w:sz w:val="20"/>
          <w:rtl/>
        </w:rPr>
        <w:t xml:space="preserve"> </w:t>
      </w:r>
      <w:r w:rsidRPr="00D038D0">
        <w:rPr>
          <w:rFonts w:hint="eastAsia"/>
          <w:sz w:val="20"/>
          <w:rtl/>
        </w:rPr>
        <w:t>המסקנה</w:t>
      </w:r>
      <w:r w:rsidRPr="00D038D0">
        <w:rPr>
          <w:sz w:val="20"/>
          <w:rtl/>
        </w:rPr>
        <w:t xml:space="preserve"> </w:t>
      </w:r>
      <w:r w:rsidRPr="00D038D0">
        <w:rPr>
          <w:rFonts w:hint="eastAsia"/>
          <w:sz w:val="20"/>
          <w:rtl/>
        </w:rPr>
        <w:t>בדבר</w:t>
      </w:r>
      <w:r w:rsidRPr="00D038D0">
        <w:rPr>
          <w:sz w:val="20"/>
          <w:rtl/>
        </w:rPr>
        <w:t xml:space="preserve"> 'אי </w:t>
      </w:r>
      <w:r w:rsidRPr="00D038D0">
        <w:rPr>
          <w:rFonts w:hint="eastAsia"/>
          <w:sz w:val="20"/>
          <w:rtl/>
        </w:rPr>
        <w:t>כשרותה</w:t>
      </w:r>
      <w:r w:rsidRPr="00D038D0">
        <w:rPr>
          <w:sz w:val="20"/>
          <w:rtl/>
        </w:rPr>
        <w:t xml:space="preserve">' </w:t>
      </w:r>
      <w:r w:rsidRPr="00D038D0">
        <w:rPr>
          <w:rFonts w:hint="eastAsia"/>
          <w:sz w:val="20"/>
          <w:rtl/>
        </w:rPr>
        <w:t>של</w:t>
      </w:r>
      <w:r w:rsidRPr="00D038D0">
        <w:rPr>
          <w:sz w:val="20"/>
          <w:rtl/>
        </w:rPr>
        <w:t xml:space="preserve"> </w:t>
      </w:r>
      <w:r w:rsidRPr="00D038D0">
        <w:rPr>
          <w:rFonts w:hint="eastAsia"/>
          <w:sz w:val="20"/>
          <w:rtl/>
        </w:rPr>
        <w:t>ההתנגדות</w:t>
      </w:r>
      <w:r w:rsidRPr="00D038D0">
        <w:rPr>
          <w:sz w:val="20"/>
          <w:rtl/>
        </w:rPr>
        <w:t xml:space="preserve">. </w:t>
      </w:r>
      <w:r w:rsidRPr="00D038D0">
        <w:rPr>
          <w:rFonts w:hint="eastAsia"/>
          <w:sz w:val="20"/>
          <w:rtl/>
        </w:rPr>
        <w:t>זאת</w:t>
      </w:r>
      <w:r w:rsidRPr="00D038D0">
        <w:rPr>
          <w:sz w:val="20"/>
          <w:rtl/>
        </w:rPr>
        <w:t xml:space="preserve"> </w:t>
      </w:r>
      <w:r w:rsidRPr="00D038D0">
        <w:rPr>
          <w:rFonts w:hint="eastAsia"/>
          <w:sz w:val="20"/>
          <w:rtl/>
        </w:rPr>
        <w:t>ועוד</w:t>
      </w:r>
      <w:r w:rsidRPr="00D038D0">
        <w:rPr>
          <w:sz w:val="20"/>
          <w:rtl/>
        </w:rPr>
        <w:t xml:space="preserve">, </w:t>
      </w:r>
      <w:r w:rsidRPr="00D038D0">
        <w:rPr>
          <w:rFonts w:hint="eastAsia"/>
          <w:sz w:val="20"/>
          <w:rtl/>
        </w:rPr>
        <w:t>כאשר</w:t>
      </w:r>
      <w:r w:rsidRPr="00D038D0">
        <w:rPr>
          <w:sz w:val="20"/>
          <w:rtl/>
        </w:rPr>
        <w:t xml:space="preserve"> </w:t>
      </w:r>
      <w:r w:rsidRPr="00D038D0">
        <w:rPr>
          <w:rFonts w:hint="eastAsia"/>
          <w:sz w:val="20"/>
          <w:rtl/>
        </w:rPr>
        <w:t>יש</w:t>
      </w:r>
      <w:r w:rsidRPr="00D038D0">
        <w:rPr>
          <w:sz w:val="20"/>
          <w:rtl/>
        </w:rPr>
        <w:t xml:space="preserve"> '</w:t>
      </w:r>
      <w:r w:rsidRPr="00D038D0">
        <w:rPr>
          <w:rFonts w:hint="eastAsia"/>
          <w:sz w:val="20"/>
          <w:rtl/>
        </w:rPr>
        <w:t>תניית</w:t>
      </w:r>
      <w:r w:rsidRPr="00D038D0">
        <w:rPr>
          <w:sz w:val="20"/>
          <w:rtl/>
        </w:rPr>
        <w:t xml:space="preserve"> סילוקין" בצוואה ראוי למתנגדים לצמצם את טענותיה</w:t>
      </w:r>
      <w:r>
        <w:rPr>
          <w:rFonts w:hint="cs"/>
          <w:sz w:val="20"/>
          <w:rtl/>
        </w:rPr>
        <w:t>ם</w:t>
      </w:r>
      <w:r w:rsidRPr="00D038D0">
        <w:rPr>
          <w:sz w:val="20"/>
          <w:rtl/>
        </w:rPr>
        <w:t xml:space="preserve"> לטענות שהם באמת מאמינים בהם ולהיזהר בהעלאת טענות שהם יודעים שאין בהם ממש [...]. כן יש לבחון, לטעמי, את מידת נחישותו של המתנגד להוכחת טענותיו. אם נמנע המתנגד מלהשיג ולהציג ראיה שיש בה כדי לבסס טענה מטענותיו, קל וחומר כשטען שיש בידו ראיה שכזו והוא אף התבקש להציגה, תתחזק המסקנה, כי הוא בעצמו לא האמין בטענתו מה שמערער את תום ליבו של המתנגד ומחזק את 'אי כשרותה' של ההתנגדות. עוד יש לבחון את מהימנותו של המתנגד ומידת האמון שיש לתת בו ובטענותיו כמו גם את הדרך בה הכין את הרקע להתנגדות (השגת ראיות) ואת הדרך בה ניהל אותה. אם ידע המתנגד על קיומה של הצוואה טרם מות המוריש, ופעל, בחוסר תום לב, ליצירת תשתית ראייתית להתנגדות לה ו/או פעל במהלך ההתנגדות במישורים אחרים לסיכולה, תוך הסתרת מידע או מתן מידע מסולף – יש גם בכל אלה כדי לחזק את המסקנה, כי ההתנגדות הוגשה שלא בתום לב ושלא מסיבה סבירה." </w:t>
      </w:r>
    </w:p>
  </w:footnote>
  <w:footnote w:id="69">
    <w:p w14:paraId="0B53502E" w14:textId="1C355A1F" w:rsidR="00063AE7" w:rsidRPr="00E75D83" w:rsidRDefault="00063AE7" w:rsidP="00D15E62">
      <w:pPr>
        <w:pStyle w:val="a4"/>
        <w:jc w:val="both"/>
        <w:rPr>
          <w:sz w:val="20"/>
        </w:rPr>
      </w:pPr>
      <w:r w:rsidRPr="00E75D83">
        <w:rPr>
          <w:rStyle w:val="a3"/>
          <w:sz w:val="20"/>
        </w:rPr>
        <w:footnoteRef/>
      </w:r>
      <w:r w:rsidRPr="00E75D83">
        <w:rPr>
          <w:sz w:val="20"/>
          <w:rtl/>
        </w:rPr>
        <w:t xml:space="preserve"> </w:t>
      </w:r>
      <w:r w:rsidRPr="00E75D83">
        <w:rPr>
          <w:rFonts w:hint="eastAsia"/>
          <w:sz w:val="20"/>
          <w:rtl/>
        </w:rPr>
        <w:t>בעניין</w:t>
      </w:r>
      <w:r w:rsidRPr="00E75D83">
        <w:rPr>
          <w:sz w:val="20"/>
          <w:rtl/>
        </w:rPr>
        <w:t xml:space="preserve"> ת"ע (משפחה ת"א) 37420-03-16 </w:t>
      </w:r>
      <w:r w:rsidRPr="00E75D83">
        <w:rPr>
          <w:rFonts w:hint="eastAsia"/>
          <w:b/>
          <w:bCs/>
          <w:sz w:val="20"/>
          <w:rtl/>
        </w:rPr>
        <w:t>ב</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אלמונים</w:t>
      </w:r>
      <w:r w:rsidRPr="00E75D83">
        <w:rPr>
          <w:sz w:val="20"/>
          <w:rtl/>
        </w:rPr>
        <w:t xml:space="preserve">, פס' 4–5 </w:t>
      </w:r>
      <w:r w:rsidR="00BF7A46">
        <w:rPr>
          <w:rFonts w:hint="cs"/>
          <w:sz w:val="20"/>
          <w:rtl/>
        </w:rPr>
        <w:t>לפסק דינו של השופט שילה</w:t>
      </w:r>
      <w:r w:rsidRPr="00E75D83">
        <w:rPr>
          <w:sz w:val="20"/>
          <w:rtl/>
        </w:rPr>
        <w:t xml:space="preserve"> (פורסם </w:t>
      </w:r>
      <w:r w:rsidRPr="00E75D83">
        <w:rPr>
          <w:rFonts w:hint="eastAsia"/>
          <w:sz w:val="20"/>
          <w:rtl/>
        </w:rPr>
        <w:t>בנבו</w:t>
      </w:r>
      <w:r w:rsidRPr="00E75D83">
        <w:rPr>
          <w:sz w:val="20"/>
          <w:rtl/>
        </w:rPr>
        <w:t xml:space="preserve">, 26.6.2016) </w:t>
      </w:r>
      <w:r w:rsidRPr="00E75D83">
        <w:rPr>
          <w:rFonts w:hint="eastAsia"/>
          <w:sz w:val="20"/>
          <w:rtl/>
        </w:rPr>
        <w:t>נפסק</w:t>
      </w:r>
      <w:r w:rsidRPr="00E75D83">
        <w:rPr>
          <w:sz w:val="20"/>
          <w:rtl/>
        </w:rPr>
        <w:t xml:space="preserve"> </w:t>
      </w:r>
      <w:r w:rsidRPr="00E75D83">
        <w:rPr>
          <w:rFonts w:hint="eastAsia"/>
          <w:sz w:val="20"/>
          <w:rtl/>
        </w:rPr>
        <w:t>כי</w:t>
      </w:r>
      <w:r w:rsidRPr="00E75D83">
        <w:rPr>
          <w:sz w:val="20"/>
          <w:rtl/>
        </w:rPr>
        <w:t xml:space="preserve">: "לו </w:t>
      </w:r>
      <w:r w:rsidRPr="00E75D83">
        <w:rPr>
          <w:rFonts w:hint="eastAsia"/>
          <w:sz w:val="20"/>
          <w:rtl/>
        </w:rPr>
        <w:t>היו</w:t>
      </w:r>
      <w:r w:rsidRPr="00E75D83">
        <w:rPr>
          <w:sz w:val="20"/>
          <w:rtl/>
        </w:rPr>
        <w:t xml:space="preserve"> </w:t>
      </w:r>
      <w:r w:rsidRPr="00E75D83">
        <w:rPr>
          <w:rFonts w:hint="eastAsia"/>
          <w:sz w:val="20"/>
          <w:rtl/>
        </w:rPr>
        <w:t>הבנים</w:t>
      </w:r>
      <w:r w:rsidRPr="00E75D83">
        <w:rPr>
          <w:sz w:val="20"/>
          <w:rtl/>
        </w:rPr>
        <w:t xml:space="preserve"> </w:t>
      </w:r>
      <w:r w:rsidRPr="00E75D83">
        <w:rPr>
          <w:rFonts w:hint="eastAsia"/>
          <w:sz w:val="20"/>
          <w:rtl/>
        </w:rPr>
        <w:t>מעלים</w:t>
      </w:r>
      <w:r w:rsidRPr="00E75D83">
        <w:rPr>
          <w:sz w:val="20"/>
          <w:rtl/>
        </w:rPr>
        <w:t xml:space="preserve"> </w:t>
      </w:r>
      <w:r w:rsidRPr="00E75D83">
        <w:rPr>
          <w:rFonts w:hint="eastAsia"/>
          <w:sz w:val="20"/>
          <w:rtl/>
        </w:rPr>
        <w:t>רק</w:t>
      </w:r>
      <w:r w:rsidRPr="00E75D83">
        <w:rPr>
          <w:sz w:val="20"/>
          <w:rtl/>
        </w:rPr>
        <w:t xml:space="preserve"> </w:t>
      </w:r>
      <w:r w:rsidRPr="00E75D83">
        <w:rPr>
          <w:rFonts w:hint="eastAsia"/>
          <w:sz w:val="20"/>
          <w:rtl/>
        </w:rPr>
        <w:t>את</w:t>
      </w:r>
      <w:r w:rsidRPr="00E75D83">
        <w:rPr>
          <w:sz w:val="20"/>
          <w:rtl/>
        </w:rPr>
        <w:t xml:space="preserve"> </w:t>
      </w:r>
      <w:r w:rsidRPr="00E75D83">
        <w:rPr>
          <w:rFonts w:hint="eastAsia"/>
          <w:sz w:val="20"/>
          <w:rtl/>
        </w:rPr>
        <w:t>הטענה</w:t>
      </w:r>
      <w:r w:rsidRPr="00E75D83">
        <w:rPr>
          <w:sz w:val="20"/>
          <w:rtl/>
        </w:rPr>
        <w:t xml:space="preserve"> </w:t>
      </w:r>
      <w:r w:rsidRPr="00E75D83">
        <w:rPr>
          <w:rFonts w:hint="eastAsia"/>
          <w:sz w:val="20"/>
          <w:rtl/>
        </w:rPr>
        <w:t>בדבר</w:t>
      </w:r>
      <w:r w:rsidRPr="00E75D83">
        <w:rPr>
          <w:sz w:val="20"/>
          <w:rtl/>
        </w:rPr>
        <w:t xml:space="preserve"> </w:t>
      </w:r>
      <w:r w:rsidRPr="00E75D83">
        <w:rPr>
          <w:rFonts w:hint="eastAsia"/>
          <w:sz w:val="20"/>
          <w:rtl/>
        </w:rPr>
        <w:t>השפעה</w:t>
      </w:r>
      <w:r w:rsidRPr="00E75D83">
        <w:rPr>
          <w:sz w:val="20"/>
          <w:rtl/>
        </w:rPr>
        <w:t xml:space="preserve"> </w:t>
      </w:r>
      <w:r w:rsidRPr="00E75D83">
        <w:rPr>
          <w:rFonts w:hint="eastAsia"/>
          <w:sz w:val="20"/>
          <w:rtl/>
        </w:rPr>
        <w:t>בלתי</w:t>
      </w:r>
      <w:r w:rsidRPr="00E75D83">
        <w:rPr>
          <w:sz w:val="20"/>
          <w:rtl/>
        </w:rPr>
        <w:t xml:space="preserve"> </w:t>
      </w:r>
      <w:r w:rsidRPr="00E75D83">
        <w:rPr>
          <w:rFonts w:hint="eastAsia"/>
          <w:sz w:val="20"/>
          <w:rtl/>
        </w:rPr>
        <w:t>הוגנת</w:t>
      </w:r>
      <w:r w:rsidRPr="00E75D83">
        <w:rPr>
          <w:sz w:val="20"/>
          <w:rtl/>
        </w:rPr>
        <w:t xml:space="preserve"> </w:t>
      </w:r>
      <w:r w:rsidRPr="00E75D83">
        <w:rPr>
          <w:rFonts w:hint="eastAsia"/>
          <w:sz w:val="20"/>
          <w:rtl/>
        </w:rPr>
        <w:t>מצד</w:t>
      </w:r>
      <w:r w:rsidRPr="00E75D83">
        <w:rPr>
          <w:sz w:val="20"/>
          <w:rtl/>
        </w:rPr>
        <w:t xml:space="preserve"> </w:t>
      </w:r>
      <w:r w:rsidRPr="00E75D83">
        <w:rPr>
          <w:rFonts w:hint="eastAsia"/>
          <w:sz w:val="20"/>
          <w:rtl/>
        </w:rPr>
        <w:t>ב</w:t>
      </w:r>
      <w:r w:rsidRPr="00E75D83">
        <w:rPr>
          <w:sz w:val="20"/>
          <w:rtl/>
        </w:rPr>
        <w:t xml:space="preserve">', </w:t>
      </w:r>
      <w:r w:rsidRPr="00E75D83">
        <w:rPr>
          <w:rFonts w:hint="eastAsia"/>
          <w:sz w:val="20"/>
          <w:rtl/>
        </w:rPr>
        <w:t>ניתן</w:t>
      </w:r>
      <w:r w:rsidRPr="00E75D83">
        <w:rPr>
          <w:sz w:val="20"/>
          <w:rtl/>
        </w:rPr>
        <w:t xml:space="preserve"> </w:t>
      </w:r>
      <w:r w:rsidRPr="00E75D83">
        <w:rPr>
          <w:rFonts w:hint="eastAsia"/>
          <w:sz w:val="20"/>
          <w:rtl/>
        </w:rPr>
        <w:t>היה</w:t>
      </w:r>
      <w:r w:rsidRPr="00E75D83">
        <w:rPr>
          <w:rFonts w:hint="eastAsia"/>
          <w:sz w:val="20"/>
        </w:rPr>
        <w:t> </w:t>
      </w:r>
      <w:r w:rsidRPr="00E75D83">
        <w:rPr>
          <w:rFonts w:hint="eastAsia"/>
          <w:sz w:val="20"/>
          <w:rtl/>
        </w:rPr>
        <w:t>לראות</w:t>
      </w:r>
      <w:r w:rsidRPr="00E75D83">
        <w:rPr>
          <w:sz w:val="20"/>
          <w:rtl/>
        </w:rPr>
        <w:t xml:space="preserve"> בהתנגדותם משום התנגדות שלא נגועה בחוסר תם לב. זאת, בין היתר עקב דיווחי המשטרה </w:t>
      </w:r>
      <w:r w:rsidRPr="00E75D83">
        <w:rPr>
          <w:rFonts w:hint="eastAsia"/>
          <w:sz w:val="20"/>
          <w:rtl/>
        </w:rPr>
        <w:t>והעו</w:t>
      </w:r>
      <w:r w:rsidRPr="00E75D83">
        <w:rPr>
          <w:sz w:val="20"/>
          <w:rtl/>
        </w:rPr>
        <w:t xml:space="preserve">"ס, </w:t>
      </w:r>
      <w:r w:rsidRPr="00E75D83">
        <w:rPr>
          <w:rFonts w:hint="eastAsia"/>
          <w:sz w:val="20"/>
          <w:rtl/>
        </w:rPr>
        <w:t>כפי</w:t>
      </w:r>
      <w:r w:rsidRPr="00E75D83">
        <w:rPr>
          <w:sz w:val="20"/>
          <w:rtl/>
        </w:rPr>
        <w:t xml:space="preserve"> </w:t>
      </w:r>
      <w:r w:rsidRPr="00E75D83">
        <w:rPr>
          <w:rFonts w:hint="eastAsia"/>
          <w:sz w:val="20"/>
          <w:rtl/>
        </w:rPr>
        <w:t>שפורטו</w:t>
      </w:r>
      <w:r w:rsidRPr="00E75D83">
        <w:rPr>
          <w:sz w:val="20"/>
          <w:rtl/>
        </w:rPr>
        <w:t xml:space="preserve"> </w:t>
      </w:r>
      <w:r w:rsidRPr="00E75D83">
        <w:rPr>
          <w:rFonts w:hint="eastAsia"/>
          <w:sz w:val="20"/>
          <w:rtl/>
        </w:rPr>
        <w:t>בהרחבה</w:t>
      </w:r>
      <w:r w:rsidRPr="00E75D83">
        <w:rPr>
          <w:sz w:val="20"/>
          <w:rtl/>
        </w:rPr>
        <w:t xml:space="preserve"> </w:t>
      </w:r>
      <w:r w:rsidRPr="00E75D83">
        <w:rPr>
          <w:rFonts w:hint="eastAsia"/>
          <w:sz w:val="20"/>
          <w:rtl/>
        </w:rPr>
        <w:t>בפסק</w:t>
      </w:r>
      <w:r w:rsidRPr="00E75D83">
        <w:rPr>
          <w:sz w:val="20"/>
          <w:rtl/>
        </w:rPr>
        <w:t xml:space="preserve"> </w:t>
      </w:r>
      <w:r w:rsidRPr="00E75D83">
        <w:rPr>
          <w:rFonts w:hint="eastAsia"/>
          <w:sz w:val="20"/>
          <w:rtl/>
        </w:rPr>
        <w:t>הדין</w:t>
      </w:r>
      <w:r w:rsidRPr="00E75D83">
        <w:rPr>
          <w:sz w:val="20"/>
        </w:rPr>
        <w:t xml:space="preserve"> .</w:t>
      </w:r>
      <w:r w:rsidRPr="00E75D83">
        <w:rPr>
          <w:rFonts w:hint="eastAsia"/>
          <w:sz w:val="20"/>
          <w:rtl/>
        </w:rPr>
        <w:t>ברם</w:t>
      </w:r>
      <w:r w:rsidRPr="00E75D83">
        <w:rPr>
          <w:sz w:val="20"/>
          <w:rtl/>
        </w:rPr>
        <w:t xml:space="preserve">, </w:t>
      </w:r>
      <w:r w:rsidRPr="00E75D83">
        <w:rPr>
          <w:rFonts w:hint="eastAsia"/>
          <w:sz w:val="20"/>
          <w:rtl/>
        </w:rPr>
        <w:t>המתנגדים</w:t>
      </w:r>
      <w:r w:rsidRPr="00E75D83">
        <w:rPr>
          <w:sz w:val="20"/>
          <w:rtl/>
        </w:rPr>
        <w:t xml:space="preserve"> </w:t>
      </w:r>
      <w:r w:rsidRPr="00E75D83">
        <w:rPr>
          <w:rFonts w:hint="eastAsia"/>
          <w:sz w:val="20"/>
          <w:rtl/>
        </w:rPr>
        <w:t>התנגדו</w:t>
      </w:r>
      <w:r w:rsidRPr="00E75D83">
        <w:rPr>
          <w:sz w:val="20"/>
          <w:rtl/>
        </w:rPr>
        <w:t xml:space="preserve"> </w:t>
      </w:r>
      <w:r w:rsidRPr="00E75D83">
        <w:rPr>
          <w:rFonts w:hint="eastAsia"/>
          <w:sz w:val="20"/>
          <w:rtl/>
        </w:rPr>
        <w:t>גם</w:t>
      </w:r>
      <w:r w:rsidRPr="00E75D83">
        <w:rPr>
          <w:sz w:val="20"/>
          <w:rtl/>
        </w:rPr>
        <w:t xml:space="preserve"> </w:t>
      </w:r>
      <w:r w:rsidRPr="00E75D83">
        <w:rPr>
          <w:rFonts w:hint="eastAsia"/>
          <w:sz w:val="20"/>
          <w:rtl/>
        </w:rPr>
        <w:t>בעילה</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היעדר</w:t>
      </w:r>
      <w:r w:rsidRPr="00E75D83">
        <w:rPr>
          <w:sz w:val="20"/>
          <w:rtl/>
        </w:rPr>
        <w:t xml:space="preserve"> </w:t>
      </w:r>
      <w:r w:rsidRPr="00E75D83">
        <w:rPr>
          <w:rFonts w:hint="eastAsia"/>
          <w:sz w:val="20"/>
          <w:rtl/>
        </w:rPr>
        <w:t>כשירות</w:t>
      </w:r>
      <w:r w:rsidRPr="00E75D83">
        <w:rPr>
          <w:sz w:val="20"/>
          <w:rtl/>
        </w:rPr>
        <w:t xml:space="preserve"> </w:t>
      </w:r>
      <w:r w:rsidRPr="00E75D83">
        <w:rPr>
          <w:rFonts w:hint="eastAsia"/>
          <w:sz w:val="20"/>
          <w:rtl/>
        </w:rPr>
        <w:t>ולהתנגדות</w:t>
      </w:r>
      <w:r w:rsidRPr="00E75D83">
        <w:rPr>
          <w:sz w:val="20"/>
          <w:rtl/>
        </w:rPr>
        <w:t xml:space="preserve"> </w:t>
      </w:r>
      <w:r w:rsidRPr="00E75D83">
        <w:rPr>
          <w:rFonts w:hint="eastAsia"/>
          <w:sz w:val="20"/>
          <w:rtl/>
        </w:rPr>
        <w:t>בעילה</w:t>
      </w:r>
      <w:r w:rsidRPr="00E75D83">
        <w:rPr>
          <w:sz w:val="20"/>
          <w:rtl/>
        </w:rPr>
        <w:t xml:space="preserve"> </w:t>
      </w:r>
      <w:r w:rsidRPr="00E75D83">
        <w:rPr>
          <w:rFonts w:hint="eastAsia"/>
          <w:sz w:val="20"/>
          <w:rtl/>
        </w:rPr>
        <w:t>זו</w:t>
      </w:r>
      <w:r w:rsidRPr="00E75D83">
        <w:rPr>
          <w:sz w:val="20"/>
          <w:rtl/>
        </w:rPr>
        <w:t>,</w:t>
      </w:r>
      <w:r w:rsidRPr="00E75D83">
        <w:rPr>
          <w:rFonts w:hint="eastAsia"/>
          <w:sz w:val="20"/>
        </w:rPr>
        <w:t> </w:t>
      </w:r>
      <w:r w:rsidRPr="00E75D83">
        <w:rPr>
          <w:rFonts w:hint="eastAsia"/>
          <w:sz w:val="20"/>
          <w:rtl/>
        </w:rPr>
        <w:t>לא</w:t>
      </w:r>
      <w:r w:rsidRPr="00E75D83">
        <w:rPr>
          <w:sz w:val="20"/>
          <w:rtl/>
        </w:rPr>
        <w:t xml:space="preserve"> </w:t>
      </w:r>
      <w:r w:rsidRPr="00E75D83">
        <w:rPr>
          <w:rFonts w:hint="eastAsia"/>
          <w:sz w:val="20"/>
          <w:rtl/>
        </w:rPr>
        <w:t>היה</w:t>
      </w:r>
      <w:r w:rsidRPr="00E75D83">
        <w:rPr>
          <w:sz w:val="20"/>
          <w:rtl/>
        </w:rPr>
        <w:t xml:space="preserve"> </w:t>
      </w:r>
      <w:r w:rsidRPr="00E75D83">
        <w:rPr>
          <w:rFonts w:hint="eastAsia"/>
          <w:sz w:val="20"/>
          <w:rtl/>
        </w:rPr>
        <w:t>כל</w:t>
      </w:r>
      <w:r w:rsidRPr="00E75D83">
        <w:rPr>
          <w:sz w:val="20"/>
          <w:rtl/>
        </w:rPr>
        <w:t xml:space="preserve"> </w:t>
      </w:r>
      <w:r w:rsidRPr="00E75D83">
        <w:rPr>
          <w:rFonts w:hint="eastAsia"/>
          <w:sz w:val="20"/>
          <w:rtl/>
        </w:rPr>
        <w:t>בסיס</w:t>
      </w:r>
      <w:r w:rsidRPr="00E75D83">
        <w:rPr>
          <w:sz w:val="20"/>
          <w:rtl/>
        </w:rPr>
        <w:t xml:space="preserve">. </w:t>
      </w:r>
      <w:r w:rsidRPr="00E75D83">
        <w:rPr>
          <w:rFonts w:hint="eastAsia"/>
          <w:sz w:val="20"/>
          <w:rtl/>
        </w:rPr>
        <w:t>כמפורט</w:t>
      </w:r>
      <w:r w:rsidRPr="00E75D83">
        <w:rPr>
          <w:sz w:val="20"/>
          <w:rtl/>
        </w:rPr>
        <w:t xml:space="preserve"> </w:t>
      </w:r>
      <w:r w:rsidRPr="00E75D83">
        <w:rPr>
          <w:rFonts w:hint="eastAsia"/>
          <w:sz w:val="20"/>
          <w:rtl/>
        </w:rPr>
        <w:t>בפסק</w:t>
      </w:r>
      <w:r w:rsidRPr="00E75D83">
        <w:rPr>
          <w:sz w:val="20"/>
          <w:rtl/>
        </w:rPr>
        <w:t xml:space="preserve"> </w:t>
      </w:r>
      <w:r w:rsidRPr="00E75D83">
        <w:rPr>
          <w:rFonts w:hint="eastAsia"/>
          <w:sz w:val="20"/>
          <w:rtl/>
        </w:rPr>
        <w:t>הדין</w:t>
      </w:r>
      <w:r w:rsidRPr="00E75D83">
        <w:rPr>
          <w:sz w:val="20"/>
          <w:rtl/>
        </w:rPr>
        <w:t xml:space="preserve">, </w:t>
      </w:r>
      <w:r w:rsidRPr="00E75D83">
        <w:rPr>
          <w:rFonts w:hint="eastAsia"/>
          <w:sz w:val="20"/>
          <w:rtl/>
        </w:rPr>
        <w:t>ההתנגדות</w:t>
      </w:r>
      <w:r w:rsidRPr="00E75D83">
        <w:rPr>
          <w:sz w:val="20"/>
          <w:rtl/>
        </w:rPr>
        <w:t xml:space="preserve"> </w:t>
      </w:r>
      <w:r w:rsidRPr="00E75D83">
        <w:rPr>
          <w:rFonts w:hint="eastAsia"/>
          <w:sz w:val="20"/>
          <w:rtl/>
        </w:rPr>
        <w:t>בטענה</w:t>
      </w:r>
      <w:r w:rsidRPr="00E75D83">
        <w:rPr>
          <w:sz w:val="20"/>
          <w:rtl/>
        </w:rPr>
        <w:t xml:space="preserve"> </w:t>
      </w:r>
      <w:r w:rsidRPr="00E75D83">
        <w:rPr>
          <w:rFonts w:hint="eastAsia"/>
          <w:sz w:val="20"/>
          <w:rtl/>
        </w:rPr>
        <w:t>זו</w:t>
      </w:r>
      <w:r w:rsidRPr="00E75D83">
        <w:rPr>
          <w:sz w:val="20"/>
          <w:rtl/>
        </w:rPr>
        <w:t xml:space="preserve">, </w:t>
      </w:r>
      <w:r w:rsidRPr="00E75D83">
        <w:rPr>
          <w:rFonts w:hint="eastAsia"/>
          <w:sz w:val="20"/>
          <w:rtl/>
        </w:rPr>
        <w:t>הייתה</w:t>
      </w:r>
      <w:r w:rsidRPr="00E75D83">
        <w:rPr>
          <w:sz w:val="20"/>
          <w:rtl/>
        </w:rPr>
        <w:t xml:space="preserve"> </w:t>
      </w:r>
      <w:r w:rsidRPr="00E75D83">
        <w:rPr>
          <w:rFonts w:hint="eastAsia"/>
          <w:sz w:val="20"/>
          <w:rtl/>
        </w:rPr>
        <w:t>נגועה</w:t>
      </w:r>
      <w:r w:rsidRPr="00E75D83">
        <w:rPr>
          <w:sz w:val="20"/>
          <w:rtl/>
        </w:rPr>
        <w:t xml:space="preserve"> </w:t>
      </w:r>
      <w:r w:rsidRPr="00E75D83">
        <w:rPr>
          <w:rFonts w:hint="eastAsia"/>
          <w:sz w:val="20"/>
          <w:rtl/>
        </w:rPr>
        <w:t>בחוסר</w:t>
      </w:r>
      <w:r w:rsidRPr="00E75D83">
        <w:rPr>
          <w:sz w:val="20"/>
          <w:rtl/>
        </w:rPr>
        <w:t xml:space="preserve"> </w:t>
      </w:r>
      <w:r w:rsidRPr="00E75D83">
        <w:rPr>
          <w:rFonts w:hint="eastAsia"/>
          <w:sz w:val="20"/>
          <w:rtl/>
        </w:rPr>
        <w:t>תם</w:t>
      </w:r>
      <w:r w:rsidRPr="00E75D83">
        <w:rPr>
          <w:sz w:val="20"/>
          <w:rtl/>
        </w:rPr>
        <w:t xml:space="preserve"> </w:t>
      </w:r>
      <w:r w:rsidRPr="00E75D83">
        <w:rPr>
          <w:rFonts w:hint="eastAsia"/>
          <w:sz w:val="20"/>
          <w:rtl/>
        </w:rPr>
        <w:t>לב</w:t>
      </w:r>
      <w:r w:rsidRPr="00E75D83">
        <w:rPr>
          <w:sz w:val="20"/>
          <w:rtl/>
        </w:rPr>
        <w:t xml:space="preserve">, </w:t>
      </w:r>
      <w:r w:rsidRPr="00E75D83">
        <w:rPr>
          <w:rFonts w:hint="eastAsia"/>
          <w:sz w:val="20"/>
          <w:rtl/>
        </w:rPr>
        <w:t>לא</w:t>
      </w:r>
      <w:r w:rsidRPr="00E75D83">
        <w:rPr>
          <w:sz w:val="20"/>
          <w:rtl/>
        </w:rPr>
        <w:t xml:space="preserve"> </w:t>
      </w:r>
      <w:r w:rsidRPr="00E75D83">
        <w:rPr>
          <w:rFonts w:hint="eastAsia"/>
          <w:sz w:val="20"/>
          <w:rtl/>
        </w:rPr>
        <w:t>הייתה</w:t>
      </w:r>
      <w:r w:rsidRPr="00E75D83">
        <w:rPr>
          <w:sz w:val="20"/>
          <w:rtl/>
        </w:rPr>
        <w:t xml:space="preserve"> </w:t>
      </w:r>
      <w:r w:rsidRPr="00E75D83">
        <w:rPr>
          <w:rFonts w:hint="eastAsia"/>
          <w:sz w:val="20"/>
          <w:rtl/>
        </w:rPr>
        <w:t>ראשית</w:t>
      </w:r>
      <w:r w:rsidRPr="00E75D83">
        <w:rPr>
          <w:sz w:val="20"/>
          <w:rtl/>
        </w:rPr>
        <w:t xml:space="preserve"> </w:t>
      </w:r>
      <w:r w:rsidRPr="00E75D83">
        <w:rPr>
          <w:rFonts w:hint="eastAsia"/>
          <w:sz w:val="20"/>
          <w:rtl/>
        </w:rPr>
        <w:t>ראייה</w:t>
      </w:r>
      <w:r w:rsidRPr="00E75D83">
        <w:rPr>
          <w:sz w:val="20"/>
          <w:rtl/>
        </w:rPr>
        <w:t xml:space="preserve"> </w:t>
      </w:r>
      <w:r w:rsidRPr="00E75D83">
        <w:rPr>
          <w:rFonts w:hint="eastAsia"/>
          <w:sz w:val="20"/>
          <w:rtl/>
        </w:rPr>
        <w:t>לטענה</w:t>
      </w:r>
      <w:r w:rsidRPr="00E75D83">
        <w:rPr>
          <w:sz w:val="20"/>
          <w:rtl/>
        </w:rPr>
        <w:t xml:space="preserve"> </w:t>
      </w:r>
      <w:r w:rsidRPr="00E75D83">
        <w:rPr>
          <w:rFonts w:hint="eastAsia"/>
          <w:sz w:val="20"/>
          <w:rtl/>
        </w:rPr>
        <w:t>זו</w:t>
      </w:r>
      <w:r w:rsidRPr="00E75D83">
        <w:rPr>
          <w:sz w:val="20"/>
          <w:rtl/>
        </w:rPr>
        <w:t xml:space="preserve"> </w:t>
      </w:r>
      <w:r w:rsidRPr="00E75D83">
        <w:rPr>
          <w:rFonts w:hint="eastAsia"/>
          <w:sz w:val="20"/>
          <w:rtl/>
        </w:rPr>
        <w:t>ולא</w:t>
      </w:r>
      <w:r w:rsidRPr="00E75D83">
        <w:rPr>
          <w:sz w:val="20"/>
          <w:rtl/>
        </w:rPr>
        <w:t xml:space="preserve"> </w:t>
      </w:r>
      <w:r w:rsidRPr="00E75D83">
        <w:rPr>
          <w:rFonts w:hint="eastAsia"/>
          <w:sz w:val="20"/>
          <w:rtl/>
        </w:rPr>
        <w:t>הייתה</w:t>
      </w:r>
      <w:r w:rsidRPr="00E75D83">
        <w:rPr>
          <w:sz w:val="20"/>
          <w:rtl/>
        </w:rPr>
        <w:t xml:space="preserve"> </w:t>
      </w:r>
      <w:r w:rsidRPr="00E75D83">
        <w:rPr>
          <w:rFonts w:hint="eastAsia"/>
          <w:sz w:val="20"/>
          <w:rtl/>
        </w:rPr>
        <w:t>לבנים</w:t>
      </w:r>
      <w:r w:rsidRPr="00E75D83">
        <w:rPr>
          <w:sz w:val="20"/>
          <w:rtl/>
        </w:rPr>
        <w:t xml:space="preserve"> </w:t>
      </w:r>
      <w:r w:rsidRPr="00E75D83">
        <w:rPr>
          <w:rFonts w:hint="eastAsia"/>
          <w:sz w:val="20"/>
          <w:rtl/>
        </w:rPr>
        <w:t>כל</w:t>
      </w:r>
      <w:r w:rsidRPr="00E75D83">
        <w:rPr>
          <w:sz w:val="20"/>
          <w:rtl/>
        </w:rPr>
        <w:t xml:space="preserve"> </w:t>
      </w:r>
      <w:r w:rsidRPr="00E75D83">
        <w:rPr>
          <w:rFonts w:hint="eastAsia"/>
          <w:sz w:val="20"/>
          <w:rtl/>
        </w:rPr>
        <w:t>סיבה</w:t>
      </w:r>
      <w:r w:rsidRPr="00E75D83">
        <w:rPr>
          <w:sz w:val="20"/>
          <w:rtl/>
        </w:rPr>
        <w:t xml:space="preserve"> </w:t>
      </w:r>
      <w:r w:rsidRPr="00E75D83">
        <w:rPr>
          <w:rFonts w:hint="eastAsia"/>
          <w:sz w:val="20"/>
          <w:rtl/>
        </w:rPr>
        <w:t>והצדקה</w:t>
      </w:r>
      <w:r w:rsidRPr="00E75D83">
        <w:rPr>
          <w:sz w:val="20"/>
          <w:rtl/>
        </w:rPr>
        <w:t xml:space="preserve"> </w:t>
      </w:r>
      <w:r w:rsidRPr="00E75D83">
        <w:rPr>
          <w:rFonts w:hint="eastAsia"/>
          <w:sz w:val="20"/>
          <w:rtl/>
        </w:rPr>
        <w:t>להעלות</w:t>
      </w:r>
      <w:r w:rsidRPr="00E75D83">
        <w:rPr>
          <w:sz w:val="20"/>
          <w:rtl/>
        </w:rPr>
        <w:t xml:space="preserve"> </w:t>
      </w:r>
      <w:r w:rsidRPr="00E75D83">
        <w:rPr>
          <w:rFonts w:hint="eastAsia"/>
          <w:sz w:val="20"/>
          <w:rtl/>
        </w:rPr>
        <w:t>טענה</w:t>
      </w:r>
      <w:r w:rsidRPr="00E75D83">
        <w:rPr>
          <w:sz w:val="20"/>
          <w:rtl/>
        </w:rPr>
        <w:t xml:space="preserve"> </w:t>
      </w:r>
      <w:r w:rsidRPr="00E75D83">
        <w:rPr>
          <w:rFonts w:hint="eastAsia"/>
          <w:sz w:val="20"/>
          <w:rtl/>
        </w:rPr>
        <w:t>זו</w:t>
      </w:r>
      <w:r w:rsidRPr="00E75D83">
        <w:rPr>
          <w:sz w:val="20"/>
          <w:rtl/>
        </w:rPr>
        <w:t>"</w:t>
      </w:r>
      <w:r w:rsidRPr="00E75D83">
        <w:rPr>
          <w:sz w:val="20"/>
        </w:rPr>
        <w:t>.</w:t>
      </w:r>
      <w:r w:rsidRPr="00E75D83">
        <w:rPr>
          <w:sz w:val="20"/>
          <w:rtl/>
        </w:rPr>
        <w:t xml:space="preserve"> </w:t>
      </w:r>
    </w:p>
  </w:footnote>
  <w:footnote w:id="70">
    <w:p w14:paraId="16379E13"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במאמר</w:t>
      </w:r>
      <w:r w:rsidRPr="00E75D83">
        <w:rPr>
          <w:sz w:val="20"/>
          <w:rtl/>
        </w:rPr>
        <w:t xml:space="preserve"> </w:t>
      </w:r>
      <w:r w:rsidRPr="00E75D83">
        <w:rPr>
          <w:rFonts w:hint="eastAsia"/>
          <w:sz w:val="20"/>
          <w:rtl/>
        </w:rPr>
        <w:t>פרי</w:t>
      </w:r>
      <w:r w:rsidRPr="00E75D83">
        <w:rPr>
          <w:sz w:val="20"/>
          <w:rtl/>
        </w:rPr>
        <w:t xml:space="preserve"> </w:t>
      </w:r>
      <w:r w:rsidRPr="00E75D83">
        <w:rPr>
          <w:rFonts w:hint="eastAsia"/>
          <w:sz w:val="20"/>
          <w:rtl/>
        </w:rPr>
        <w:t>עטו</w:t>
      </w:r>
      <w:r w:rsidRPr="00E75D83">
        <w:rPr>
          <w:sz w:val="20"/>
          <w:rtl/>
        </w:rPr>
        <w:t xml:space="preserve"> של מיכאל קורינאלדי "מגמות חדשות בדיני צוואות" </w:t>
      </w:r>
      <w:r w:rsidRPr="00E75D83">
        <w:rPr>
          <w:b/>
          <w:bCs/>
          <w:sz w:val="20"/>
          <w:rtl/>
        </w:rPr>
        <w:t xml:space="preserve">קרית המשפט </w:t>
      </w:r>
      <w:r w:rsidRPr="00E75D83">
        <w:rPr>
          <w:sz w:val="20"/>
          <w:rtl/>
        </w:rPr>
        <w:t xml:space="preserve">ג 242, 268–269 (2003), מבחין </w:t>
      </w:r>
      <w:r w:rsidRPr="00E75D83">
        <w:rPr>
          <w:rFonts w:hint="eastAsia"/>
          <w:sz w:val="20"/>
          <w:rtl/>
        </w:rPr>
        <w:t>קורינאלדי</w:t>
      </w:r>
      <w:r w:rsidRPr="00E75D83">
        <w:rPr>
          <w:sz w:val="20"/>
          <w:rtl/>
        </w:rPr>
        <w:t xml:space="preserve"> בין שני סוגי תניות הנכללות לתפיסתנו בקבוצת התניות הצרות. "</w:t>
      </w:r>
      <w:r w:rsidRPr="00E75D83">
        <w:rPr>
          <w:rFonts w:hint="eastAsia"/>
          <w:sz w:val="20"/>
          <w:rtl/>
        </w:rPr>
        <w:t>תניית</w:t>
      </w:r>
      <w:r w:rsidRPr="00E75D83">
        <w:rPr>
          <w:sz w:val="20"/>
          <w:rtl/>
        </w:rPr>
        <w:t xml:space="preserve"> אי תקיפה של צוואה [...]. המצווה כולל בצוואתו הוראה כי זוכה שיתנגד לתוקף המשפטי של הצוואה יסולק מזכייתו". "תנאי מפסיק מסוג אחר הוא תנאי אי-תביעה, המתייחס למסת הנכסים </w:t>
      </w:r>
      <w:r w:rsidRPr="00E75D83">
        <w:rPr>
          <w:rFonts w:hint="eastAsia"/>
          <w:sz w:val="20"/>
          <w:rtl/>
        </w:rPr>
        <w:t>בעזבון</w:t>
      </w:r>
      <w:r w:rsidRPr="00E75D83">
        <w:rPr>
          <w:sz w:val="20"/>
          <w:rtl/>
        </w:rPr>
        <w:t xml:space="preserve"> [...]. </w:t>
      </w:r>
      <w:r w:rsidRPr="00E75D83">
        <w:rPr>
          <w:rFonts w:hint="eastAsia"/>
          <w:sz w:val="20"/>
          <w:rtl/>
        </w:rPr>
        <w:t>תניית</w:t>
      </w:r>
      <w:r w:rsidRPr="00E75D83">
        <w:rPr>
          <w:sz w:val="20"/>
          <w:rtl/>
        </w:rPr>
        <w:t xml:space="preserve"> אי-תקיפה מתייחסת, כאמור, למניעת תקיפת תוקף הצוואה, ואילו </w:t>
      </w:r>
      <w:r w:rsidRPr="00E75D83">
        <w:rPr>
          <w:rFonts w:hint="eastAsia"/>
          <w:sz w:val="20"/>
          <w:rtl/>
        </w:rPr>
        <w:t>תניית</w:t>
      </w:r>
      <w:r w:rsidRPr="00E75D83">
        <w:rPr>
          <w:sz w:val="20"/>
          <w:rtl/>
        </w:rPr>
        <w:t xml:space="preserve"> אי-תביעה מתנה את ההענקה לזוכה, בתנאי שלא ינסה לנגוס בהיקף נכסי העיזבון, מכוח עילות חיצוניות לחוק הירושה. צמצום היקף </w:t>
      </w:r>
      <w:r w:rsidRPr="00E75D83">
        <w:rPr>
          <w:rFonts w:hint="eastAsia"/>
          <w:sz w:val="20"/>
          <w:rtl/>
        </w:rPr>
        <w:t>העזבון</w:t>
      </w:r>
      <w:r w:rsidRPr="00E75D83">
        <w:rPr>
          <w:sz w:val="20"/>
          <w:rtl/>
        </w:rPr>
        <w:t xml:space="preserve"> מסכל את תכנית המצווה לחלוקת העיזבון. הפסיקה בארץ לא הבחינה בין שני סוגי התניות". לדעתנו, ההבדלים בין שני הסוגים עליהם מצביע </w:t>
      </w:r>
      <w:r w:rsidRPr="00E75D83">
        <w:rPr>
          <w:rFonts w:hint="eastAsia"/>
          <w:sz w:val="20"/>
          <w:rtl/>
        </w:rPr>
        <w:t>קורינאלדי</w:t>
      </w:r>
      <w:r w:rsidRPr="00E75D83">
        <w:rPr>
          <w:sz w:val="20"/>
          <w:rtl/>
        </w:rPr>
        <w:t xml:space="preserve"> דקים, </w:t>
      </w:r>
      <w:r w:rsidRPr="00E75D83">
        <w:rPr>
          <w:rFonts w:hint="eastAsia"/>
          <w:sz w:val="20"/>
          <w:rtl/>
        </w:rPr>
        <w:t>ותניית</w:t>
      </w:r>
      <w:r w:rsidRPr="00E75D83">
        <w:rPr>
          <w:sz w:val="20"/>
          <w:rtl/>
        </w:rPr>
        <w:t xml:space="preserve"> אי-תביעה כוללת בתוכה גם מאפיינים של </w:t>
      </w:r>
      <w:r w:rsidRPr="00E75D83">
        <w:rPr>
          <w:rFonts w:hint="eastAsia"/>
          <w:sz w:val="20"/>
          <w:rtl/>
        </w:rPr>
        <w:t>תניית</w:t>
      </w:r>
      <w:r w:rsidRPr="00E75D83">
        <w:rPr>
          <w:sz w:val="20"/>
          <w:rtl/>
        </w:rPr>
        <w:t xml:space="preserve"> אי-תקיפה. על כן, קיבצנו את שני הסוגים לקבוצת התניות הצרות, כאשר ההבדל ביניהן לבין קבוצת התניות הרחבות משמעותי ובולט יותר.</w:t>
      </w:r>
    </w:p>
  </w:footnote>
  <w:footnote w:id="71">
    <w:p w14:paraId="6EB7FC91" w14:textId="77777777" w:rsidR="00063AE7" w:rsidRPr="00E75D83" w:rsidRDefault="00063AE7" w:rsidP="00804CC1">
      <w:pPr>
        <w:pStyle w:val="a4"/>
        <w:jc w:val="both"/>
        <w:rPr>
          <w:sz w:val="20"/>
        </w:rPr>
      </w:pPr>
      <w:r w:rsidRPr="00E75D83">
        <w:rPr>
          <w:rStyle w:val="a3"/>
          <w:sz w:val="20"/>
        </w:rPr>
        <w:footnoteRef/>
      </w:r>
      <w:r w:rsidRPr="00E75D83">
        <w:rPr>
          <w:sz w:val="20"/>
          <w:rtl/>
        </w:rPr>
        <w:t xml:space="preserve"> </w:t>
      </w:r>
      <w:r w:rsidRPr="00E75D83">
        <w:rPr>
          <w:rFonts w:hint="eastAsia"/>
          <w:sz w:val="20"/>
          <w:rtl/>
        </w:rPr>
        <w:t>לדוגמה</w:t>
      </w:r>
      <w:r w:rsidRPr="00E75D83">
        <w:rPr>
          <w:sz w:val="20"/>
          <w:rtl/>
        </w:rPr>
        <w:t xml:space="preserve">, אם פלוני נתן בחייו מתנה לבנו, ובצוואתו לא עדכן את היקף עיזבונו ולכן לאור האמור בצוואה המתנה צריכה להתחלק בין היורשים, עשוי בנו של פלוני להגיש תביעה בטענה שאותה מתנה כבר אינה מהווה חלק מהעיזבון. </w:t>
      </w:r>
    </w:p>
  </w:footnote>
  <w:footnote w:id="72">
    <w:p w14:paraId="23613353" w14:textId="77777777" w:rsidR="00063AE7" w:rsidRPr="00E75D83" w:rsidRDefault="00063AE7">
      <w:pPr>
        <w:pStyle w:val="a4"/>
        <w:rPr>
          <w:sz w:val="20"/>
        </w:rPr>
      </w:pPr>
      <w:r w:rsidRPr="00E75D83">
        <w:rPr>
          <w:rStyle w:val="a3"/>
          <w:sz w:val="20"/>
        </w:rPr>
        <w:footnoteRef/>
      </w:r>
      <w:r w:rsidRPr="00E75D83">
        <w:rPr>
          <w:sz w:val="20"/>
          <w:rtl/>
        </w:rPr>
        <w:t xml:space="preserve"> </w:t>
      </w:r>
      <w:r w:rsidRPr="00E75D83">
        <w:rPr>
          <w:rFonts w:hint="eastAsia"/>
          <w:sz w:val="20"/>
          <w:rtl/>
        </w:rPr>
        <w:t>לדוגמה</w:t>
      </w:r>
      <w:r w:rsidRPr="00E75D83">
        <w:rPr>
          <w:sz w:val="20"/>
          <w:rtl/>
        </w:rPr>
        <w:t xml:space="preserve">, מצווה אשר מוריש לילדיו עסק משפחתי יכול לקבוע </w:t>
      </w:r>
      <w:r w:rsidRPr="00E75D83">
        <w:rPr>
          <w:rFonts w:hint="eastAsia"/>
          <w:sz w:val="20"/>
          <w:rtl/>
        </w:rPr>
        <w:t>תנייה</w:t>
      </w:r>
      <w:r w:rsidRPr="00E75D83">
        <w:rPr>
          <w:sz w:val="20"/>
          <w:rtl/>
        </w:rPr>
        <w:t xml:space="preserve"> שמטרתה למנוע תביעות עתידיות המתעוררות בעקבות חילוקי דעות בנוגע לניהול העסק.</w:t>
      </w:r>
    </w:p>
  </w:footnote>
  <w:footnote w:id="73">
    <w:p w14:paraId="62FAB950" w14:textId="784DF3E4" w:rsidR="00063AE7" w:rsidRPr="0086638D" w:rsidRDefault="00063AE7" w:rsidP="003C0B63">
      <w:pPr>
        <w:pStyle w:val="a4"/>
        <w:jc w:val="both"/>
        <w:rPr>
          <w:sz w:val="20"/>
          <w:rtl/>
        </w:rPr>
      </w:pPr>
      <w:r w:rsidRPr="00E75D83">
        <w:rPr>
          <w:rStyle w:val="a3"/>
          <w:sz w:val="20"/>
          <w:rtl/>
        </w:rPr>
        <w:footnoteRef/>
      </w:r>
      <w:r w:rsidRPr="00E75D83">
        <w:rPr>
          <w:sz w:val="20"/>
          <w:rtl/>
        </w:rPr>
        <w:t xml:space="preserve"> </w:t>
      </w:r>
      <w:r w:rsidRPr="00E75D83">
        <w:rPr>
          <w:rFonts w:hint="eastAsia"/>
          <w:sz w:val="20"/>
          <w:rtl/>
        </w:rPr>
        <w:t>ע</w:t>
      </w:r>
      <w:r w:rsidRPr="00E75D83">
        <w:rPr>
          <w:sz w:val="20"/>
          <w:rtl/>
        </w:rPr>
        <w:t xml:space="preserve">"א 2698/92 </w:t>
      </w:r>
      <w:r w:rsidRPr="00E75D83">
        <w:rPr>
          <w:b/>
          <w:bCs/>
          <w:sz w:val="20"/>
          <w:rtl/>
        </w:rPr>
        <w:t xml:space="preserve">יונה נ' </w:t>
      </w:r>
      <w:r w:rsidRPr="00E75D83">
        <w:rPr>
          <w:rFonts w:hint="eastAsia"/>
          <w:b/>
          <w:bCs/>
          <w:sz w:val="20"/>
          <w:rtl/>
        </w:rPr>
        <w:t>אדלמן</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מח</w:t>
      </w:r>
      <w:r w:rsidRPr="00E75D83">
        <w:rPr>
          <w:sz w:val="20"/>
          <w:rtl/>
        </w:rPr>
        <w:t>(3) 275 (1994)</w:t>
      </w:r>
      <w:r w:rsidR="0086638D">
        <w:rPr>
          <w:rFonts w:hint="cs"/>
          <w:sz w:val="20"/>
          <w:rtl/>
        </w:rPr>
        <w:t xml:space="preserve"> (להלן: עניין </w:t>
      </w:r>
      <w:r w:rsidR="0086638D">
        <w:rPr>
          <w:rFonts w:hint="cs"/>
          <w:b/>
          <w:bCs/>
          <w:sz w:val="20"/>
          <w:rtl/>
        </w:rPr>
        <w:t>יונה</w:t>
      </w:r>
      <w:r w:rsidR="0086638D">
        <w:rPr>
          <w:rFonts w:hint="cs"/>
          <w:sz w:val="20"/>
          <w:rtl/>
        </w:rPr>
        <w:t>).</w:t>
      </w:r>
    </w:p>
  </w:footnote>
  <w:footnote w:id="74">
    <w:p w14:paraId="47A41AD0"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ניסוח</w:t>
      </w:r>
      <w:r w:rsidRPr="00E75D83">
        <w:rPr>
          <w:sz w:val="20"/>
          <w:rtl/>
        </w:rPr>
        <w:t xml:space="preserve"> </w:t>
      </w:r>
      <w:r w:rsidRPr="00E75D83">
        <w:rPr>
          <w:rFonts w:hint="eastAsia"/>
          <w:sz w:val="20"/>
          <w:rtl/>
        </w:rPr>
        <w:t>התנייה</w:t>
      </w:r>
      <w:r w:rsidRPr="00E75D83">
        <w:rPr>
          <w:sz w:val="20"/>
          <w:rtl/>
        </w:rPr>
        <w:t xml:space="preserve"> מדגים מדוע יש לכלול תניות "אי-תקיפה" ו"אי-תביעה" במסגרת קבוצת התניות הצרות. אמנם, </w:t>
      </w:r>
      <w:r w:rsidRPr="00E75D83">
        <w:rPr>
          <w:rFonts w:hint="eastAsia"/>
          <w:sz w:val="20"/>
          <w:rtl/>
        </w:rPr>
        <w:t>התנייה</w:t>
      </w:r>
      <w:r w:rsidRPr="00E75D83">
        <w:rPr>
          <w:sz w:val="20"/>
          <w:rtl/>
        </w:rPr>
        <w:t xml:space="preserve"> אינה באה למנוע תביעות כנגד תוקפה בלבד, אלא מנסה למנוע התנגדות לביצועה מנימוקים שונים, אך </w:t>
      </w:r>
      <w:r w:rsidRPr="00E75D83">
        <w:rPr>
          <w:rFonts w:hint="eastAsia"/>
          <w:sz w:val="20"/>
          <w:rtl/>
        </w:rPr>
        <w:t>מלשונה</w:t>
      </w:r>
      <w:r w:rsidRPr="00E75D83">
        <w:rPr>
          <w:sz w:val="20"/>
          <w:rtl/>
        </w:rPr>
        <w:t xml:space="preserve"> </w:t>
      </w:r>
      <w:r w:rsidRPr="00E75D83">
        <w:rPr>
          <w:rFonts w:hint="eastAsia"/>
          <w:sz w:val="20"/>
          <w:rtl/>
        </w:rPr>
        <w:t>עולה</w:t>
      </w:r>
      <w:r w:rsidRPr="00E75D83">
        <w:rPr>
          <w:sz w:val="20"/>
          <w:rtl/>
        </w:rPr>
        <w:t xml:space="preserve"> </w:t>
      </w:r>
      <w:r w:rsidRPr="00E75D83">
        <w:rPr>
          <w:rFonts w:hint="eastAsia"/>
          <w:sz w:val="20"/>
          <w:rtl/>
        </w:rPr>
        <w:t>כי</w:t>
      </w:r>
      <w:r w:rsidRPr="00E75D83">
        <w:rPr>
          <w:sz w:val="20"/>
          <w:rtl/>
        </w:rPr>
        <w:t xml:space="preserve"> </w:t>
      </w:r>
      <w:r w:rsidRPr="00E75D83">
        <w:rPr>
          <w:rFonts w:hint="eastAsia"/>
          <w:sz w:val="20"/>
          <w:rtl/>
        </w:rPr>
        <w:t>היא</w:t>
      </w:r>
      <w:r w:rsidRPr="00E75D83">
        <w:rPr>
          <w:sz w:val="20"/>
          <w:rtl/>
        </w:rPr>
        <w:t xml:space="preserve"> </w:t>
      </w:r>
      <w:r w:rsidRPr="00E75D83">
        <w:rPr>
          <w:rFonts w:hint="eastAsia"/>
          <w:sz w:val="20"/>
          <w:rtl/>
        </w:rPr>
        <w:t>תופעל</w:t>
      </w:r>
      <w:r w:rsidRPr="00E75D83">
        <w:rPr>
          <w:sz w:val="20"/>
          <w:rtl/>
        </w:rPr>
        <w:t xml:space="preserve"> </w:t>
      </w:r>
      <w:r w:rsidRPr="00E75D83">
        <w:rPr>
          <w:rFonts w:hint="eastAsia"/>
          <w:sz w:val="20"/>
          <w:rtl/>
        </w:rPr>
        <w:t>גם</w:t>
      </w:r>
      <w:r w:rsidRPr="00E75D83">
        <w:rPr>
          <w:sz w:val="20"/>
          <w:rtl/>
        </w:rPr>
        <w:t xml:space="preserve"> </w:t>
      </w:r>
      <w:r w:rsidRPr="00E75D83">
        <w:rPr>
          <w:rFonts w:hint="eastAsia"/>
          <w:sz w:val="20"/>
          <w:rtl/>
        </w:rPr>
        <w:t>בעקבות</w:t>
      </w:r>
      <w:r w:rsidRPr="00E75D83">
        <w:rPr>
          <w:sz w:val="20"/>
          <w:rtl/>
        </w:rPr>
        <w:t xml:space="preserve"> </w:t>
      </w:r>
      <w:r w:rsidRPr="00E75D83">
        <w:rPr>
          <w:rFonts w:hint="eastAsia"/>
          <w:sz w:val="20"/>
          <w:rtl/>
        </w:rPr>
        <w:t>טענות</w:t>
      </w:r>
      <w:r w:rsidRPr="00E75D83">
        <w:rPr>
          <w:sz w:val="20"/>
          <w:rtl/>
        </w:rPr>
        <w:t xml:space="preserve"> </w:t>
      </w:r>
      <w:r w:rsidRPr="00E75D83">
        <w:rPr>
          <w:rFonts w:hint="eastAsia"/>
          <w:sz w:val="20"/>
          <w:rtl/>
        </w:rPr>
        <w:t>כנגד</w:t>
      </w:r>
      <w:r w:rsidRPr="00E75D83">
        <w:rPr>
          <w:sz w:val="20"/>
          <w:rtl/>
        </w:rPr>
        <w:t xml:space="preserve"> </w:t>
      </w:r>
      <w:r w:rsidRPr="00E75D83">
        <w:rPr>
          <w:rFonts w:hint="eastAsia"/>
          <w:sz w:val="20"/>
          <w:rtl/>
        </w:rPr>
        <w:t>תוקפה</w:t>
      </w:r>
      <w:r w:rsidRPr="00E75D83">
        <w:rPr>
          <w:sz w:val="20"/>
          <w:rtl/>
        </w:rPr>
        <w:t xml:space="preserve">. </w:t>
      </w:r>
      <w:r w:rsidRPr="00E75D83">
        <w:rPr>
          <w:rFonts w:hint="eastAsia"/>
          <w:sz w:val="20"/>
          <w:rtl/>
        </w:rPr>
        <w:t>בכל</w:t>
      </w:r>
      <w:r w:rsidRPr="00E75D83">
        <w:rPr>
          <w:sz w:val="20"/>
          <w:rtl/>
        </w:rPr>
        <w:t xml:space="preserve"> </w:t>
      </w:r>
      <w:r w:rsidRPr="00E75D83">
        <w:rPr>
          <w:rFonts w:hint="eastAsia"/>
          <w:sz w:val="20"/>
          <w:rtl/>
        </w:rPr>
        <w:t>מקרה</w:t>
      </w:r>
      <w:r w:rsidRPr="00E75D83">
        <w:rPr>
          <w:sz w:val="20"/>
          <w:rtl/>
        </w:rPr>
        <w:t xml:space="preserve">, </w:t>
      </w:r>
      <w:r w:rsidRPr="00E75D83">
        <w:rPr>
          <w:rFonts w:hint="eastAsia"/>
          <w:sz w:val="20"/>
          <w:rtl/>
        </w:rPr>
        <w:t>מדובר</w:t>
      </w:r>
      <w:r w:rsidRPr="00E75D83">
        <w:rPr>
          <w:sz w:val="20"/>
          <w:rtl/>
        </w:rPr>
        <w:t xml:space="preserve"> </w:t>
      </w:r>
      <w:r w:rsidRPr="00E75D83">
        <w:rPr>
          <w:rFonts w:hint="eastAsia"/>
          <w:sz w:val="20"/>
          <w:rtl/>
        </w:rPr>
        <w:t>במניעת</w:t>
      </w:r>
      <w:r w:rsidRPr="00E75D83">
        <w:rPr>
          <w:sz w:val="20"/>
          <w:rtl/>
        </w:rPr>
        <w:t xml:space="preserve"> </w:t>
      </w:r>
      <w:r w:rsidRPr="00E75D83">
        <w:rPr>
          <w:rFonts w:hint="eastAsia"/>
          <w:sz w:val="20"/>
          <w:rtl/>
        </w:rPr>
        <w:t>תביעות</w:t>
      </w:r>
      <w:r w:rsidRPr="00E75D83">
        <w:rPr>
          <w:sz w:val="20"/>
          <w:rtl/>
        </w:rPr>
        <w:t xml:space="preserve"> </w:t>
      </w:r>
      <w:r w:rsidRPr="00E75D83">
        <w:rPr>
          <w:rFonts w:hint="eastAsia"/>
          <w:sz w:val="20"/>
          <w:rtl/>
        </w:rPr>
        <w:t>הנוגעות</w:t>
      </w:r>
      <w:r w:rsidRPr="00E75D83">
        <w:rPr>
          <w:sz w:val="20"/>
          <w:rtl/>
        </w:rPr>
        <w:t xml:space="preserve"> </w:t>
      </w:r>
      <w:r w:rsidRPr="00E75D83">
        <w:rPr>
          <w:rFonts w:hint="eastAsia"/>
          <w:sz w:val="20"/>
          <w:rtl/>
        </w:rPr>
        <w:t>לירושה</w:t>
      </w:r>
      <w:r w:rsidRPr="00E75D83">
        <w:rPr>
          <w:sz w:val="20"/>
          <w:rtl/>
        </w:rPr>
        <w:t xml:space="preserve"> </w:t>
      </w:r>
      <w:r w:rsidRPr="00E75D83">
        <w:rPr>
          <w:rFonts w:hint="eastAsia"/>
          <w:sz w:val="20"/>
          <w:rtl/>
        </w:rPr>
        <w:t>עצמה</w:t>
      </w:r>
      <w:r w:rsidRPr="00E75D83">
        <w:rPr>
          <w:sz w:val="20"/>
          <w:rtl/>
        </w:rPr>
        <w:t xml:space="preserve">, </w:t>
      </w:r>
      <w:r w:rsidRPr="00E75D83">
        <w:rPr>
          <w:rFonts w:hint="eastAsia"/>
          <w:sz w:val="20"/>
          <w:rtl/>
        </w:rPr>
        <w:t>ועל</w:t>
      </w:r>
      <w:r w:rsidRPr="00E75D83">
        <w:rPr>
          <w:sz w:val="20"/>
          <w:rtl/>
        </w:rPr>
        <w:t xml:space="preserve"> </w:t>
      </w:r>
      <w:r w:rsidRPr="00E75D83">
        <w:rPr>
          <w:rFonts w:hint="eastAsia"/>
          <w:sz w:val="20"/>
          <w:rtl/>
        </w:rPr>
        <w:t>כן</w:t>
      </w:r>
      <w:r w:rsidRPr="00E75D83">
        <w:rPr>
          <w:sz w:val="20"/>
          <w:rtl/>
        </w:rPr>
        <w:t xml:space="preserve"> </w:t>
      </w:r>
      <w:r w:rsidRPr="00E75D83">
        <w:rPr>
          <w:rFonts w:hint="eastAsia"/>
          <w:sz w:val="20"/>
          <w:rtl/>
        </w:rPr>
        <w:t>הן</w:t>
      </w:r>
      <w:r w:rsidRPr="00E75D83">
        <w:rPr>
          <w:sz w:val="20"/>
          <w:rtl/>
        </w:rPr>
        <w:t xml:space="preserve"> </w:t>
      </w:r>
      <w:r w:rsidRPr="00E75D83">
        <w:rPr>
          <w:rFonts w:hint="eastAsia"/>
          <w:sz w:val="20"/>
          <w:rtl/>
        </w:rPr>
        <w:t>משתייכות</w:t>
      </w:r>
      <w:r w:rsidRPr="00E75D83">
        <w:rPr>
          <w:sz w:val="20"/>
          <w:rtl/>
        </w:rPr>
        <w:t xml:space="preserve"> </w:t>
      </w:r>
      <w:r w:rsidRPr="00E75D83">
        <w:rPr>
          <w:rFonts w:hint="eastAsia"/>
          <w:sz w:val="20"/>
          <w:rtl/>
        </w:rPr>
        <w:t>לאותה</w:t>
      </w:r>
      <w:r w:rsidRPr="00E75D83">
        <w:rPr>
          <w:sz w:val="20"/>
          <w:rtl/>
        </w:rPr>
        <w:t xml:space="preserve"> </w:t>
      </w:r>
      <w:r w:rsidRPr="00E75D83">
        <w:rPr>
          <w:rFonts w:hint="eastAsia"/>
          <w:sz w:val="20"/>
          <w:rtl/>
        </w:rPr>
        <w:t>קבוצה</w:t>
      </w:r>
      <w:r w:rsidRPr="00E75D83">
        <w:rPr>
          <w:sz w:val="20"/>
          <w:rtl/>
        </w:rPr>
        <w:t>.</w:t>
      </w:r>
    </w:p>
  </w:footnote>
  <w:footnote w:id="75">
    <w:p w14:paraId="7DA574DA" w14:textId="77777777" w:rsidR="00063AE7" w:rsidRPr="00E75D83" w:rsidRDefault="00063AE7" w:rsidP="003C0B63">
      <w:pPr>
        <w:pStyle w:val="a4"/>
        <w:jc w:val="both"/>
        <w:rPr>
          <w:sz w:val="20"/>
        </w:rPr>
      </w:pPr>
      <w:r w:rsidRPr="00E75D83">
        <w:rPr>
          <w:rStyle w:val="a3"/>
          <w:sz w:val="20"/>
        </w:rPr>
        <w:footnoteRef/>
      </w:r>
      <w:r w:rsidRPr="00E75D83">
        <w:rPr>
          <w:sz w:val="20"/>
          <w:rtl/>
        </w:rPr>
        <w:t xml:space="preserve"> </w:t>
      </w:r>
      <w:r w:rsidRPr="00E75D83">
        <w:rPr>
          <w:rFonts w:hint="eastAsia"/>
          <w:sz w:val="20"/>
          <w:rtl/>
        </w:rPr>
        <w:t>הלכת</w:t>
      </w:r>
      <w:r w:rsidRPr="00E75D83">
        <w:rPr>
          <w:sz w:val="20"/>
          <w:rtl/>
        </w:rPr>
        <w:t xml:space="preserve"> השיתוף שהתפתחה בפסיקה קובעת חזקה לפיה "בני זוג החיים בצוותא ומקיימים משק בית משותף, הרכוש שנצבר במשך חייהם המשותפים הוא רכושם המשותף המתחלק ביניהם בחלקים שווים, גם אם הוא רשום רק על שם אחד מהם, והוא כל עוד אין ראיות על כך שנתגבשה ביניהם כוונה אחרת", ראו: בג"ץ 1000/92 </w:t>
      </w:r>
      <w:r w:rsidRPr="00E75D83">
        <w:rPr>
          <w:rFonts w:hint="eastAsia"/>
          <w:b/>
          <w:bCs/>
          <w:sz w:val="20"/>
          <w:rtl/>
        </w:rPr>
        <w:t>בבלי</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בית</w:t>
      </w:r>
      <w:r w:rsidRPr="00E75D83">
        <w:rPr>
          <w:b/>
          <w:bCs/>
          <w:sz w:val="20"/>
          <w:rtl/>
        </w:rPr>
        <w:t xml:space="preserve"> </w:t>
      </w:r>
      <w:r w:rsidRPr="00E75D83">
        <w:rPr>
          <w:rFonts w:hint="eastAsia"/>
          <w:b/>
          <w:bCs/>
          <w:sz w:val="20"/>
          <w:rtl/>
        </w:rPr>
        <w:t>הדין</w:t>
      </w:r>
      <w:r w:rsidRPr="00E75D83">
        <w:rPr>
          <w:b/>
          <w:bCs/>
          <w:sz w:val="20"/>
          <w:rtl/>
        </w:rPr>
        <w:t xml:space="preserve"> </w:t>
      </w:r>
      <w:r w:rsidRPr="00E75D83">
        <w:rPr>
          <w:rFonts w:hint="eastAsia"/>
          <w:b/>
          <w:bCs/>
          <w:sz w:val="20"/>
          <w:rtl/>
        </w:rPr>
        <w:t>הרבני</w:t>
      </w:r>
      <w:r w:rsidRPr="00E75D83">
        <w:rPr>
          <w:b/>
          <w:bCs/>
          <w:sz w:val="20"/>
          <w:rtl/>
        </w:rPr>
        <w:t xml:space="preserve"> </w:t>
      </w:r>
      <w:r w:rsidRPr="00E75D83">
        <w:rPr>
          <w:rFonts w:hint="eastAsia"/>
          <w:b/>
          <w:bCs/>
          <w:sz w:val="20"/>
          <w:rtl/>
        </w:rPr>
        <w:t>הגדול</w:t>
      </w:r>
      <w:r w:rsidRPr="00E75D83">
        <w:rPr>
          <w:sz w:val="20"/>
          <w:rtl/>
        </w:rPr>
        <w:t xml:space="preserve">, </w:t>
      </w:r>
      <w:r w:rsidRPr="00E75D83">
        <w:rPr>
          <w:rFonts w:hint="eastAsia"/>
          <w:sz w:val="20"/>
          <w:rtl/>
        </w:rPr>
        <w:t>פ</w:t>
      </w:r>
      <w:r w:rsidRPr="00E75D83">
        <w:rPr>
          <w:sz w:val="20"/>
          <w:rtl/>
        </w:rPr>
        <w:t xml:space="preserve">"ד </w:t>
      </w:r>
      <w:r w:rsidRPr="00E75D83">
        <w:rPr>
          <w:rFonts w:hint="eastAsia"/>
          <w:sz w:val="20"/>
          <w:rtl/>
        </w:rPr>
        <w:t>מח</w:t>
      </w:r>
      <w:r w:rsidRPr="00E75D83">
        <w:rPr>
          <w:sz w:val="20"/>
          <w:rtl/>
        </w:rPr>
        <w:t>(2) 221, 252 (1994).</w:t>
      </w:r>
    </w:p>
  </w:footnote>
  <w:footnote w:id="76">
    <w:p w14:paraId="4F80C07C" w14:textId="6D350457" w:rsidR="00063AE7" w:rsidRPr="00E75D83" w:rsidRDefault="00063AE7" w:rsidP="002573F0">
      <w:pPr>
        <w:pStyle w:val="a4"/>
        <w:jc w:val="both"/>
        <w:rPr>
          <w:sz w:val="20"/>
        </w:rPr>
      </w:pPr>
      <w:r w:rsidRPr="00E75D83">
        <w:rPr>
          <w:rStyle w:val="a3"/>
          <w:sz w:val="20"/>
        </w:rPr>
        <w:footnoteRef/>
      </w:r>
      <w:r w:rsidRPr="00E75D83">
        <w:rPr>
          <w:sz w:val="20"/>
          <w:rtl/>
        </w:rPr>
        <w:t xml:space="preserve"> </w:t>
      </w:r>
      <w:r w:rsidRPr="00E75D83">
        <w:rPr>
          <w:rFonts w:hint="eastAsia"/>
          <w:sz w:val="20"/>
          <w:rtl/>
        </w:rPr>
        <w:t>לטענת</w:t>
      </w:r>
      <w:r w:rsidRPr="00E75D83">
        <w:rPr>
          <w:sz w:val="20"/>
          <w:rtl/>
        </w:rPr>
        <w:t xml:space="preserve"> </w:t>
      </w:r>
      <w:r w:rsidRPr="00E75D83">
        <w:rPr>
          <w:rFonts w:hint="eastAsia"/>
          <w:sz w:val="20"/>
          <w:rtl/>
        </w:rPr>
        <w:t>הנהנים</w:t>
      </w:r>
      <w:r w:rsidRPr="00E75D83">
        <w:rPr>
          <w:sz w:val="20"/>
          <w:rtl/>
        </w:rPr>
        <w:t xml:space="preserve"> "הסכמתם </w:t>
      </w:r>
      <w:r w:rsidRPr="00E75D83">
        <w:rPr>
          <w:rFonts w:hint="eastAsia"/>
          <w:sz w:val="20"/>
          <w:rtl/>
        </w:rPr>
        <w:t>לתביעת</w:t>
      </w:r>
      <w:r w:rsidRPr="00E75D83">
        <w:rPr>
          <w:sz w:val="20"/>
          <w:rtl/>
        </w:rPr>
        <w:t xml:space="preserve"> </w:t>
      </w:r>
      <w:r w:rsidRPr="00E75D83">
        <w:rPr>
          <w:rFonts w:hint="eastAsia"/>
          <w:sz w:val="20"/>
          <w:rtl/>
        </w:rPr>
        <w:t>אימם</w:t>
      </w:r>
      <w:r w:rsidRPr="00E75D83">
        <w:rPr>
          <w:sz w:val="20"/>
          <w:rtl/>
        </w:rPr>
        <w:t xml:space="preserve"> </w:t>
      </w:r>
      <w:r w:rsidRPr="00E75D83">
        <w:rPr>
          <w:rFonts w:hint="eastAsia"/>
          <w:sz w:val="20"/>
          <w:rtl/>
        </w:rPr>
        <w:t>למחצית</w:t>
      </w:r>
      <w:r w:rsidRPr="00E75D83">
        <w:rPr>
          <w:sz w:val="20"/>
          <w:rtl/>
        </w:rPr>
        <w:t xml:space="preserve"> </w:t>
      </w:r>
      <w:r w:rsidRPr="00E75D83">
        <w:rPr>
          <w:rFonts w:hint="eastAsia"/>
          <w:sz w:val="20"/>
          <w:rtl/>
        </w:rPr>
        <w:t>מעיזבונו</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המנוח</w:t>
      </w:r>
      <w:r w:rsidRPr="00E75D83">
        <w:rPr>
          <w:sz w:val="20"/>
          <w:rtl/>
        </w:rPr>
        <w:t xml:space="preserve">, </w:t>
      </w:r>
      <w:r w:rsidRPr="00E75D83">
        <w:rPr>
          <w:rFonts w:hint="eastAsia"/>
          <w:sz w:val="20"/>
          <w:rtl/>
        </w:rPr>
        <w:t>איננה</w:t>
      </w:r>
      <w:r w:rsidRPr="00E75D83">
        <w:rPr>
          <w:sz w:val="20"/>
          <w:rtl/>
        </w:rPr>
        <w:t xml:space="preserve"> </w:t>
      </w:r>
      <w:r w:rsidRPr="00E75D83">
        <w:rPr>
          <w:rFonts w:hint="eastAsia"/>
          <w:sz w:val="20"/>
          <w:rtl/>
        </w:rPr>
        <w:t>עומדת</w:t>
      </w:r>
      <w:r w:rsidRPr="00E75D83">
        <w:rPr>
          <w:sz w:val="20"/>
          <w:rtl/>
        </w:rPr>
        <w:t xml:space="preserve"> </w:t>
      </w:r>
      <w:r w:rsidRPr="00E75D83">
        <w:rPr>
          <w:rFonts w:hint="eastAsia"/>
          <w:sz w:val="20"/>
          <w:rtl/>
        </w:rPr>
        <w:t>בסתירה</w:t>
      </w:r>
      <w:r w:rsidRPr="00E75D83">
        <w:rPr>
          <w:sz w:val="20"/>
          <w:rtl/>
        </w:rPr>
        <w:t xml:space="preserve"> </w:t>
      </w:r>
      <w:r w:rsidRPr="00E75D83">
        <w:rPr>
          <w:rFonts w:hint="eastAsia"/>
          <w:sz w:val="20"/>
          <w:rtl/>
        </w:rPr>
        <w:t>לסעיף</w:t>
      </w:r>
      <w:r w:rsidRPr="00E75D83">
        <w:rPr>
          <w:sz w:val="20"/>
          <w:rtl/>
        </w:rPr>
        <w:t xml:space="preserve"> 19, </w:t>
      </w:r>
      <w:r w:rsidRPr="00E75D83">
        <w:rPr>
          <w:rFonts w:hint="eastAsia"/>
          <w:sz w:val="20"/>
          <w:rtl/>
        </w:rPr>
        <w:t>משום</w:t>
      </w:r>
      <w:r w:rsidRPr="00E75D83">
        <w:rPr>
          <w:sz w:val="20"/>
          <w:rtl/>
        </w:rPr>
        <w:t xml:space="preserve"> </w:t>
      </w:r>
      <w:r w:rsidRPr="00E75D83">
        <w:rPr>
          <w:rFonts w:hint="eastAsia"/>
          <w:sz w:val="20"/>
          <w:rtl/>
        </w:rPr>
        <w:t>שאין</w:t>
      </w:r>
      <w:r w:rsidRPr="00E75D83">
        <w:rPr>
          <w:sz w:val="20"/>
          <w:rtl/>
        </w:rPr>
        <w:t xml:space="preserve"> </w:t>
      </w:r>
      <w:r w:rsidRPr="00E75D83">
        <w:rPr>
          <w:rFonts w:hint="eastAsia"/>
          <w:sz w:val="20"/>
          <w:rtl/>
        </w:rPr>
        <w:t>היא</w:t>
      </w:r>
      <w:r w:rsidRPr="00E75D83">
        <w:rPr>
          <w:sz w:val="20"/>
          <w:rtl/>
        </w:rPr>
        <w:t xml:space="preserve"> </w:t>
      </w:r>
      <w:r w:rsidRPr="00E75D83">
        <w:rPr>
          <w:rFonts w:hint="eastAsia"/>
          <w:sz w:val="20"/>
          <w:rtl/>
        </w:rPr>
        <w:t>בבחינת</w:t>
      </w:r>
      <w:r w:rsidRPr="00E75D83">
        <w:rPr>
          <w:sz w:val="20"/>
          <w:rtl/>
        </w:rPr>
        <w:t xml:space="preserve"> </w:t>
      </w:r>
      <w:r w:rsidRPr="00E75D83">
        <w:rPr>
          <w:rFonts w:hint="eastAsia"/>
          <w:sz w:val="20"/>
          <w:rtl/>
        </w:rPr>
        <w:t>התנגדות</w:t>
      </w:r>
      <w:r w:rsidRPr="00E75D83">
        <w:rPr>
          <w:sz w:val="20"/>
          <w:rtl/>
        </w:rPr>
        <w:t xml:space="preserve"> </w:t>
      </w:r>
      <w:r w:rsidRPr="00E75D83">
        <w:rPr>
          <w:rFonts w:hint="eastAsia"/>
          <w:sz w:val="20"/>
          <w:rtl/>
        </w:rPr>
        <w:t>להליך</w:t>
      </w:r>
      <w:r w:rsidRPr="00E75D83">
        <w:rPr>
          <w:sz w:val="20"/>
          <w:rtl/>
        </w:rPr>
        <w:t xml:space="preserve"> </w:t>
      </w:r>
      <w:r w:rsidRPr="00E75D83">
        <w:rPr>
          <w:rFonts w:hint="eastAsia"/>
          <w:sz w:val="20"/>
          <w:rtl/>
        </w:rPr>
        <w:t>של</w:t>
      </w:r>
      <w:r w:rsidRPr="00E75D83">
        <w:rPr>
          <w:sz w:val="20"/>
          <w:rtl/>
        </w:rPr>
        <w:t xml:space="preserve"> </w:t>
      </w:r>
      <w:r w:rsidRPr="00E75D83">
        <w:rPr>
          <w:rFonts w:hint="eastAsia"/>
          <w:sz w:val="20"/>
          <w:rtl/>
        </w:rPr>
        <w:t>צו</w:t>
      </w:r>
      <w:r w:rsidRPr="00E75D83">
        <w:rPr>
          <w:sz w:val="20"/>
          <w:rtl/>
        </w:rPr>
        <w:t xml:space="preserve"> </w:t>
      </w:r>
      <w:r w:rsidRPr="00E75D83">
        <w:rPr>
          <w:rFonts w:hint="eastAsia"/>
          <w:sz w:val="20"/>
          <w:rtl/>
        </w:rPr>
        <w:t>קיום</w:t>
      </w:r>
      <w:r w:rsidRPr="00E75D83">
        <w:rPr>
          <w:sz w:val="20"/>
          <w:rtl/>
        </w:rPr>
        <w:t xml:space="preserve"> </w:t>
      </w:r>
      <w:r w:rsidRPr="00E75D83">
        <w:rPr>
          <w:rFonts w:hint="eastAsia"/>
          <w:sz w:val="20"/>
          <w:rtl/>
        </w:rPr>
        <w:t>הצוואה</w:t>
      </w:r>
      <w:r w:rsidRPr="00E75D83">
        <w:rPr>
          <w:sz w:val="20"/>
          <w:rtl/>
        </w:rPr>
        <w:t xml:space="preserve"> </w:t>
      </w:r>
      <w:r w:rsidRPr="00E75D83">
        <w:rPr>
          <w:rFonts w:hint="eastAsia"/>
          <w:sz w:val="20"/>
          <w:rtl/>
        </w:rPr>
        <w:t>או</w:t>
      </w:r>
      <w:r w:rsidRPr="00E75D83">
        <w:rPr>
          <w:sz w:val="20"/>
          <w:rtl/>
        </w:rPr>
        <w:t xml:space="preserve"> </w:t>
      </w:r>
      <w:r w:rsidRPr="00E75D83">
        <w:rPr>
          <w:rFonts w:hint="eastAsia"/>
          <w:sz w:val="20"/>
          <w:rtl/>
        </w:rPr>
        <w:t>לביצועה</w:t>
      </w:r>
      <w:r w:rsidRPr="00E75D83">
        <w:rPr>
          <w:sz w:val="20"/>
        </w:rPr>
        <w:t>.</w:t>
      </w:r>
      <w:r w:rsidRPr="00E75D83">
        <w:rPr>
          <w:sz w:val="20"/>
          <w:rtl/>
        </w:rPr>
        <w:t xml:space="preserve">" ראו: </w:t>
      </w:r>
      <w:proofErr w:type="spellStart"/>
      <w:r w:rsidRPr="00E75D83">
        <w:rPr>
          <w:sz w:val="20"/>
          <w:rtl/>
        </w:rPr>
        <w:t>ה"פ</w:t>
      </w:r>
      <w:proofErr w:type="spellEnd"/>
      <w:r w:rsidRPr="00E75D83">
        <w:rPr>
          <w:sz w:val="20"/>
          <w:rtl/>
        </w:rPr>
        <w:t xml:space="preserve"> (מחוזי ת"א) 1067/91 </w:t>
      </w:r>
      <w:r w:rsidRPr="00E75D83">
        <w:rPr>
          <w:b/>
          <w:bCs/>
          <w:sz w:val="20"/>
          <w:rtl/>
        </w:rPr>
        <w:t>אדלמן נ' יונה</w:t>
      </w:r>
      <w:r w:rsidRPr="00E75D83">
        <w:rPr>
          <w:sz w:val="20"/>
          <w:rtl/>
        </w:rPr>
        <w:t xml:space="preserve">, פס' 3 לפסק </w:t>
      </w:r>
      <w:r w:rsidR="00BF7A46">
        <w:rPr>
          <w:rFonts w:hint="cs"/>
          <w:sz w:val="20"/>
          <w:rtl/>
        </w:rPr>
        <w:t>דינו של השופט גורן</w:t>
      </w:r>
      <w:r w:rsidR="0086638D">
        <w:rPr>
          <w:rFonts w:hint="cs"/>
          <w:sz w:val="20"/>
          <w:rtl/>
        </w:rPr>
        <w:t xml:space="preserve"> </w:t>
      </w:r>
      <w:r w:rsidRPr="00E75D83">
        <w:rPr>
          <w:sz w:val="20"/>
          <w:rtl/>
        </w:rPr>
        <w:t xml:space="preserve">(פורסם בנבו, 6.5.1992). </w:t>
      </w:r>
    </w:p>
  </w:footnote>
  <w:footnote w:id="77">
    <w:p w14:paraId="19654777" w14:textId="6ECC4BC6" w:rsidR="00063AE7" w:rsidRPr="00E75D83" w:rsidRDefault="00063AE7" w:rsidP="008B7B7B">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שם</w:t>
      </w:r>
      <w:r w:rsidRPr="00E75D83">
        <w:rPr>
          <w:sz w:val="20"/>
          <w:rtl/>
        </w:rPr>
        <w:t xml:space="preserve">, </w:t>
      </w:r>
      <w:r w:rsidRPr="00E75D83">
        <w:rPr>
          <w:rFonts w:hint="eastAsia"/>
          <w:sz w:val="20"/>
          <w:rtl/>
        </w:rPr>
        <w:t>פס</w:t>
      </w:r>
      <w:r w:rsidRPr="00E75D83">
        <w:rPr>
          <w:sz w:val="20"/>
          <w:rtl/>
        </w:rPr>
        <w:t xml:space="preserve">' 9 לפסק </w:t>
      </w:r>
      <w:r w:rsidR="00BF7A46">
        <w:rPr>
          <w:rFonts w:hint="cs"/>
          <w:sz w:val="20"/>
          <w:rtl/>
        </w:rPr>
        <w:t>דינו של השופט גורן</w:t>
      </w:r>
      <w:r w:rsidRPr="00E75D83">
        <w:rPr>
          <w:sz w:val="20"/>
          <w:rtl/>
        </w:rPr>
        <w:t>.</w:t>
      </w:r>
    </w:p>
  </w:footnote>
  <w:footnote w:id="78">
    <w:p w14:paraId="5D7361B7" w14:textId="3150418B" w:rsidR="00063AE7" w:rsidRPr="00E75D83" w:rsidRDefault="00063AE7" w:rsidP="003C0B63">
      <w:pPr>
        <w:jc w:val="both"/>
        <w:rPr>
          <w:sz w:val="20"/>
          <w:szCs w:val="20"/>
          <w:rtl/>
        </w:rPr>
      </w:pPr>
      <w:r w:rsidRPr="00E75D83">
        <w:rPr>
          <w:rStyle w:val="a3"/>
          <w:sz w:val="20"/>
          <w:szCs w:val="20"/>
        </w:rPr>
        <w:footnoteRef/>
      </w:r>
      <w:r w:rsidRPr="00E75D83">
        <w:rPr>
          <w:sz w:val="20"/>
          <w:szCs w:val="20"/>
          <w:rtl/>
        </w:rPr>
        <w:t xml:space="preserve"> </w:t>
      </w:r>
      <w:r w:rsidRPr="00E75D83">
        <w:rPr>
          <w:sz w:val="20"/>
          <w:szCs w:val="20"/>
          <w:rtl/>
        </w:rPr>
        <w:t xml:space="preserve">שם, פס' 4 </w:t>
      </w:r>
      <w:r w:rsidR="00BF7A46">
        <w:rPr>
          <w:rFonts w:hint="cs"/>
          <w:sz w:val="20"/>
          <w:szCs w:val="20"/>
          <w:rtl/>
        </w:rPr>
        <w:t>לפסק דינו של השופט גורן</w:t>
      </w:r>
      <w:r w:rsidRPr="00E75D83">
        <w:rPr>
          <w:sz w:val="20"/>
          <w:szCs w:val="20"/>
          <w:rtl/>
        </w:rPr>
        <w:t xml:space="preserve"> ציין השופט כי: "סעיף 19 הנ"ל [</w:t>
      </w:r>
      <w:r w:rsidRPr="00E75D83">
        <w:rPr>
          <w:rFonts w:hint="eastAsia"/>
          <w:sz w:val="20"/>
          <w:szCs w:val="20"/>
          <w:rtl/>
        </w:rPr>
        <w:t>תניית</w:t>
      </w:r>
      <w:r w:rsidRPr="00E75D83">
        <w:rPr>
          <w:sz w:val="20"/>
          <w:szCs w:val="20"/>
          <w:rtl/>
        </w:rPr>
        <w:t xml:space="preserve"> הסילוקין - הכותבים] כמו הצוואה כולה, חל רק על הליך של התנגדות לגבי הנכסים שהיו בבעלות המנוח ואשר המנוח היה רשאי להורישם ואין להחילו על נכסים אשר נטען לגביהם על-ידי המבקשת כי אינם מהווים חלק מנכסי העיזבון. אין אדם יכול להוריש יותר ממה שיש לו ואין אדם יכול בצוואתו לחסום כל אפשרות בידי הנותרים אחריו לתבוע בהסתמך על זכות משפטית אחרת העומדת להם."</w:t>
      </w:r>
    </w:p>
  </w:footnote>
  <w:footnote w:id="79">
    <w:p w14:paraId="2E78A03E" w14:textId="590AF75C" w:rsidR="00063AE7" w:rsidRPr="00E75D83" w:rsidRDefault="00063AE7" w:rsidP="003C0B63">
      <w:pPr>
        <w:pStyle w:val="a4"/>
        <w:jc w:val="both"/>
        <w:rPr>
          <w:sz w:val="20"/>
          <w:rtl/>
        </w:rPr>
      </w:pPr>
      <w:r w:rsidRPr="00E75D83">
        <w:rPr>
          <w:rStyle w:val="a3"/>
          <w:sz w:val="20"/>
        </w:rPr>
        <w:footnoteRef/>
      </w:r>
      <w:r w:rsidRPr="00E75D83">
        <w:rPr>
          <w:sz w:val="20"/>
          <w:rtl/>
        </w:rPr>
        <w:t xml:space="preserve"> אליה הצטרפו השופטים ד</w:t>
      </w:r>
      <w:r>
        <w:rPr>
          <w:rFonts w:hint="cs"/>
          <w:sz w:val="20"/>
          <w:rtl/>
        </w:rPr>
        <w:t>'</w:t>
      </w:r>
      <w:r w:rsidRPr="00E75D83">
        <w:rPr>
          <w:sz w:val="20"/>
          <w:rtl/>
        </w:rPr>
        <w:t xml:space="preserve"> לוין ומצא.</w:t>
      </w:r>
    </w:p>
  </w:footnote>
  <w:footnote w:id="80">
    <w:p w14:paraId="64A8408A" w14:textId="167DD64F" w:rsidR="00063AE7" w:rsidRPr="00E75D83" w:rsidRDefault="00063AE7" w:rsidP="008F4BCC">
      <w:pPr>
        <w:pStyle w:val="a4"/>
        <w:jc w:val="both"/>
        <w:rPr>
          <w:sz w:val="20"/>
        </w:rPr>
      </w:pPr>
      <w:r w:rsidRPr="00E75D83">
        <w:rPr>
          <w:rStyle w:val="a3"/>
          <w:sz w:val="20"/>
          <w:rtl/>
        </w:rPr>
        <w:footnoteRef/>
      </w:r>
      <w:r w:rsidRPr="00E75D83">
        <w:rPr>
          <w:sz w:val="20"/>
          <w:rtl/>
        </w:rPr>
        <w:t xml:space="preserve"> </w:t>
      </w:r>
      <w:r w:rsidRPr="00E75D83">
        <w:rPr>
          <w:sz w:val="20"/>
          <w:rtl/>
        </w:rPr>
        <w:t xml:space="preserve">עניין </w:t>
      </w:r>
      <w:r w:rsidRPr="00E75D83">
        <w:rPr>
          <w:b/>
          <w:bCs/>
          <w:sz w:val="20"/>
          <w:rtl/>
        </w:rPr>
        <w:t>יונה</w:t>
      </w:r>
      <w:r w:rsidRPr="00E75D83">
        <w:rPr>
          <w:sz w:val="20"/>
          <w:rtl/>
        </w:rPr>
        <w:t xml:space="preserve">,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Ref497719767 \h</w:instrText>
      </w:r>
      <w:r>
        <w:rPr>
          <w:sz w:val="20"/>
          <w:rtl/>
        </w:rPr>
        <w:instrText xml:space="preserve"> </w:instrText>
      </w:r>
      <w:r>
        <w:rPr>
          <w:sz w:val="20"/>
          <w:rtl/>
        </w:rPr>
      </w:r>
      <w:r>
        <w:rPr>
          <w:sz w:val="20"/>
          <w:rtl/>
        </w:rPr>
        <w:fldChar w:fldCharType="separate"/>
      </w:r>
      <w:r>
        <w:rPr>
          <w:sz w:val="20"/>
          <w:rtl/>
        </w:rPr>
        <w:t>73</w:t>
      </w:r>
      <w:r>
        <w:rPr>
          <w:sz w:val="20"/>
          <w:rtl/>
        </w:rPr>
        <w:fldChar w:fldCharType="end"/>
      </w:r>
      <w:r w:rsidRPr="00E75D83">
        <w:rPr>
          <w:sz w:val="20"/>
          <w:rtl/>
        </w:rPr>
        <w:t xml:space="preserve">, פס' 15 </w:t>
      </w:r>
      <w:r w:rsidR="00BF7A46">
        <w:rPr>
          <w:rFonts w:hint="cs"/>
          <w:sz w:val="20"/>
          <w:rtl/>
        </w:rPr>
        <w:t>לפסק דינ</w:t>
      </w:r>
      <w:r w:rsidR="0086638D">
        <w:rPr>
          <w:rFonts w:hint="cs"/>
          <w:sz w:val="20"/>
          <w:rtl/>
        </w:rPr>
        <w:t>ה</w:t>
      </w:r>
      <w:r w:rsidR="00BF7A46">
        <w:rPr>
          <w:rFonts w:hint="cs"/>
          <w:sz w:val="20"/>
          <w:rtl/>
        </w:rPr>
        <w:t xml:space="preserve"> של השופט</w:t>
      </w:r>
      <w:r w:rsidR="0086638D">
        <w:rPr>
          <w:rFonts w:hint="cs"/>
          <w:sz w:val="20"/>
          <w:rtl/>
        </w:rPr>
        <w:t>ת</w:t>
      </w:r>
      <w:r w:rsidR="00BF7A46">
        <w:rPr>
          <w:rFonts w:hint="cs"/>
          <w:sz w:val="20"/>
          <w:rtl/>
        </w:rPr>
        <w:t xml:space="preserve"> </w:t>
      </w:r>
      <w:proofErr w:type="spellStart"/>
      <w:r w:rsidRPr="00E75D83">
        <w:rPr>
          <w:sz w:val="20"/>
          <w:rtl/>
        </w:rPr>
        <w:t>שטרסברג</w:t>
      </w:r>
      <w:proofErr w:type="spellEnd"/>
      <w:r w:rsidRPr="00E75D83">
        <w:rPr>
          <w:sz w:val="20"/>
          <w:rtl/>
        </w:rPr>
        <w:t xml:space="preserve">-כהן </w:t>
      </w:r>
      <w:r w:rsidR="0086638D">
        <w:rPr>
          <w:rFonts w:hint="cs"/>
          <w:sz w:val="20"/>
          <w:rtl/>
        </w:rPr>
        <w:t xml:space="preserve">אשר ציינה </w:t>
      </w:r>
      <w:r w:rsidRPr="00E75D83">
        <w:rPr>
          <w:sz w:val="20"/>
          <w:rtl/>
        </w:rPr>
        <w:t>כ</w:t>
      </w:r>
      <w:r w:rsidRPr="00E75D83">
        <w:rPr>
          <w:rFonts w:hint="eastAsia"/>
          <w:sz w:val="20"/>
          <w:rtl/>
        </w:rPr>
        <w:t>ך</w:t>
      </w:r>
      <w:r w:rsidRPr="00E75D83">
        <w:rPr>
          <w:sz w:val="20"/>
          <w:rtl/>
        </w:rPr>
        <w:t xml:space="preserve">: "תקיפת מסת העיזבון על-ידי מי מהיורשים על-פי הצוואה היא ניסיון לסכל את רצונו של המנוח, ומפני סיכול כזה התנה הוא את תניית הסילוקין, שבעזרתה ביקש המנוח למנוע מילדיו, יורשיו, לתקוף את רצונו הברור והמפורש." </w:t>
      </w:r>
      <w:proofErr w:type="spellStart"/>
      <w:r w:rsidRPr="00E75D83">
        <w:rPr>
          <w:rFonts w:hint="eastAsia"/>
          <w:sz w:val="20"/>
          <w:rtl/>
        </w:rPr>
        <w:t>קורינאלדי</w:t>
      </w:r>
      <w:proofErr w:type="spellEnd"/>
      <w:r w:rsidRPr="00E75D83">
        <w:rPr>
          <w:sz w:val="20"/>
          <w:rtl/>
        </w:rPr>
        <w:t xml:space="preserve">, לעיל </w:t>
      </w:r>
      <w:proofErr w:type="spellStart"/>
      <w:r w:rsidRPr="00E75D83">
        <w:rPr>
          <w:sz w:val="20"/>
          <w:rtl/>
        </w:rPr>
        <w:t>ה"ש</w:t>
      </w:r>
      <w:proofErr w:type="spellEnd"/>
      <w:r w:rsidRPr="00E75D83">
        <w:rPr>
          <w:sz w:val="20"/>
          <w:rtl/>
        </w:rPr>
        <w:t xml:space="preserve"> </w:t>
      </w:r>
      <w:r>
        <w:rPr>
          <w:sz w:val="20"/>
          <w:rtl/>
        </w:rPr>
        <w:fldChar w:fldCharType="begin"/>
      </w:r>
      <w:r>
        <w:rPr>
          <w:sz w:val="20"/>
          <w:rtl/>
        </w:rPr>
        <w:instrText xml:space="preserve"> </w:instrText>
      </w:r>
      <w:r>
        <w:rPr>
          <w:sz w:val="20"/>
        </w:rPr>
        <w:instrText>NOTEREF</w:instrText>
      </w:r>
      <w:r>
        <w:rPr>
          <w:sz w:val="20"/>
          <w:rtl/>
        </w:rPr>
        <w:instrText xml:space="preserve"> _</w:instrText>
      </w:r>
      <w:r>
        <w:rPr>
          <w:sz w:val="20"/>
        </w:rPr>
        <w:instrText>Ref497726525 \h</w:instrText>
      </w:r>
      <w:r>
        <w:rPr>
          <w:sz w:val="20"/>
          <w:rtl/>
        </w:rPr>
        <w:instrText xml:space="preserve"> </w:instrText>
      </w:r>
      <w:r>
        <w:rPr>
          <w:sz w:val="20"/>
          <w:rtl/>
        </w:rPr>
      </w:r>
      <w:r>
        <w:rPr>
          <w:sz w:val="20"/>
          <w:rtl/>
        </w:rPr>
        <w:fldChar w:fldCharType="separate"/>
      </w:r>
      <w:r>
        <w:rPr>
          <w:sz w:val="20"/>
          <w:rtl/>
        </w:rPr>
        <w:t>70</w:t>
      </w:r>
      <w:r>
        <w:rPr>
          <w:sz w:val="20"/>
          <w:rtl/>
        </w:rPr>
        <w:fldChar w:fldCharType="end"/>
      </w:r>
      <w:r w:rsidRPr="00E75D83">
        <w:rPr>
          <w:sz w:val="20"/>
          <w:rtl/>
        </w:rPr>
        <w:t>, בעמ' 270</w:t>
      </w:r>
      <w:r w:rsidR="0086638D">
        <w:rPr>
          <w:sz w:val="20"/>
          <w:rtl/>
        </w:rPr>
        <w:t>–</w:t>
      </w:r>
      <w:r w:rsidRPr="00E75D83">
        <w:rPr>
          <w:sz w:val="20"/>
          <w:rtl/>
        </w:rPr>
        <w:t xml:space="preserve">269, בהתייחסו לפסק הדין בעניין </w:t>
      </w:r>
      <w:r w:rsidRPr="00E75D83">
        <w:rPr>
          <w:rFonts w:hint="eastAsia"/>
          <w:b/>
          <w:bCs/>
          <w:sz w:val="20"/>
          <w:rtl/>
        </w:rPr>
        <w:t>יונה</w:t>
      </w:r>
      <w:r>
        <w:rPr>
          <w:rFonts w:hint="cs"/>
          <w:sz w:val="20"/>
          <w:rtl/>
        </w:rPr>
        <w:t>,</w:t>
      </w:r>
      <w:r w:rsidRPr="00E75D83">
        <w:rPr>
          <w:sz w:val="20"/>
          <w:rtl/>
        </w:rPr>
        <w:t xml:space="preserve"> </w:t>
      </w:r>
      <w:r w:rsidR="0086638D">
        <w:rPr>
          <w:rFonts w:hint="cs"/>
          <w:sz w:val="20"/>
          <w:rtl/>
        </w:rPr>
        <w:t xml:space="preserve">לעיל </w:t>
      </w:r>
      <w:proofErr w:type="spellStart"/>
      <w:r w:rsidR="0086638D">
        <w:rPr>
          <w:rFonts w:hint="cs"/>
          <w:sz w:val="20"/>
          <w:rtl/>
        </w:rPr>
        <w:t>ה"ש</w:t>
      </w:r>
      <w:proofErr w:type="spellEnd"/>
      <w:r w:rsidR="0086638D">
        <w:rPr>
          <w:rFonts w:hint="cs"/>
          <w:sz w:val="20"/>
          <w:rtl/>
        </w:rPr>
        <w:t xml:space="preserve"> 73, </w:t>
      </w:r>
      <w:r w:rsidRPr="00E75D83">
        <w:rPr>
          <w:sz w:val="20"/>
          <w:rtl/>
        </w:rPr>
        <w:t xml:space="preserve">חלק על המסקנה לפיה התנגדות להיקף העיזבון יכולה להיחשב להתנגדות לצוואה. לדעתו, </w:t>
      </w:r>
      <w:r w:rsidRPr="00E75D83">
        <w:rPr>
          <w:rFonts w:hint="eastAsia"/>
          <w:sz w:val="20"/>
          <w:rtl/>
        </w:rPr>
        <w:t>תניית</w:t>
      </w:r>
      <w:r w:rsidRPr="00E75D83">
        <w:rPr>
          <w:sz w:val="20"/>
          <w:rtl/>
        </w:rPr>
        <w:t xml:space="preserve"> "אי-תביעה" אינה מקיימת את </w:t>
      </w:r>
      <w:proofErr w:type="spellStart"/>
      <w:r w:rsidRPr="00E75D83">
        <w:rPr>
          <w:sz w:val="20"/>
          <w:rtl/>
        </w:rPr>
        <w:t>הרציונאלים</w:t>
      </w:r>
      <w:proofErr w:type="spellEnd"/>
      <w:r w:rsidRPr="00E75D83">
        <w:rPr>
          <w:sz w:val="20"/>
          <w:rtl/>
        </w:rPr>
        <w:t xml:space="preserve"> העומדים בבסיס הנימוקים התומכים במתן תוקף </w:t>
      </w:r>
      <w:r w:rsidRPr="00E75D83">
        <w:rPr>
          <w:rFonts w:hint="eastAsia"/>
          <w:sz w:val="20"/>
          <w:rtl/>
        </w:rPr>
        <w:t>לתניות</w:t>
      </w:r>
      <w:r w:rsidRPr="00E75D83">
        <w:rPr>
          <w:sz w:val="20"/>
          <w:rtl/>
        </w:rPr>
        <w:t xml:space="preserve"> סילוקין ואף מתערבת בזכויות הקנייניות של היורשים הפוטנציאליים</w:t>
      </w:r>
      <w:r>
        <w:rPr>
          <w:rFonts w:hint="cs"/>
          <w:sz w:val="20"/>
          <w:rtl/>
        </w:rPr>
        <w:t>,</w:t>
      </w:r>
      <w:r w:rsidRPr="00E75D83">
        <w:rPr>
          <w:sz w:val="20"/>
          <w:rtl/>
        </w:rPr>
        <w:t xml:space="preserve"> באופן </w:t>
      </w:r>
      <w:r>
        <w:rPr>
          <w:rFonts w:hint="cs"/>
          <w:sz w:val="20"/>
          <w:rtl/>
        </w:rPr>
        <w:t>ה</w:t>
      </w:r>
      <w:r w:rsidRPr="00E75D83">
        <w:rPr>
          <w:sz w:val="20"/>
          <w:rtl/>
        </w:rPr>
        <w:t>מצדיק שלא לתת לה תוקף.</w:t>
      </w:r>
    </w:p>
  </w:footnote>
  <w:footnote w:id="81">
    <w:p w14:paraId="25C0DC0E"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תמ"ש (משפחה י-ם) 23100/97 </w:t>
      </w:r>
      <w:r w:rsidRPr="00E75D83">
        <w:rPr>
          <w:b/>
          <w:bCs/>
          <w:sz w:val="20"/>
          <w:rtl/>
        </w:rPr>
        <w:t>פלונית נ' אלמונית</w:t>
      </w:r>
      <w:r w:rsidRPr="00E75D83">
        <w:rPr>
          <w:sz w:val="20"/>
          <w:rtl/>
        </w:rPr>
        <w:t xml:space="preserve"> (פורסם בנבו, 9.12.2002).</w:t>
      </w:r>
    </w:p>
  </w:footnote>
  <w:footnote w:id="82">
    <w:p w14:paraId="72C6CA77" w14:textId="77777777" w:rsidR="00063AE7" w:rsidRPr="00E75D83" w:rsidRDefault="00063AE7" w:rsidP="003C0B63">
      <w:pPr>
        <w:pStyle w:val="a4"/>
        <w:jc w:val="both"/>
        <w:rPr>
          <w:sz w:val="20"/>
          <w:rtl/>
        </w:rPr>
      </w:pPr>
      <w:r w:rsidRPr="00E75D83">
        <w:rPr>
          <w:rStyle w:val="a3"/>
          <w:sz w:val="20"/>
        </w:rPr>
        <w:footnoteRef/>
      </w:r>
      <w:r w:rsidRPr="00E75D83">
        <w:rPr>
          <w:sz w:val="20"/>
          <w:rtl/>
        </w:rPr>
        <w:t xml:space="preserve"> שם.</w:t>
      </w:r>
    </w:p>
  </w:footnote>
  <w:footnote w:id="83">
    <w:p w14:paraId="4F523F13" w14:textId="77777777" w:rsidR="00063AE7" w:rsidRPr="00E75D83" w:rsidRDefault="00063AE7" w:rsidP="00C64BC0">
      <w:pPr>
        <w:pStyle w:val="a4"/>
        <w:jc w:val="both"/>
        <w:rPr>
          <w:sz w:val="20"/>
          <w:rtl/>
        </w:rPr>
      </w:pPr>
      <w:r w:rsidRPr="00E75D83">
        <w:rPr>
          <w:rStyle w:val="a3"/>
          <w:sz w:val="20"/>
        </w:rPr>
        <w:footnoteRef/>
      </w:r>
      <w:r w:rsidRPr="00E75D83">
        <w:rPr>
          <w:sz w:val="20"/>
          <w:rtl/>
        </w:rPr>
        <w:t xml:space="preserve"> </w:t>
      </w:r>
      <w:r w:rsidRPr="00E75D83">
        <w:rPr>
          <w:sz w:val="20"/>
        </w:rPr>
        <w:t>Parker v. Benoist, 2014 WL 4243763 (Miss. Aug. 20, 2014)</w:t>
      </w:r>
      <w:r w:rsidRPr="00E75D83">
        <w:rPr>
          <w:sz w:val="20"/>
          <w:rtl/>
        </w:rPr>
        <w:t xml:space="preserve">, שם </w:t>
      </w:r>
      <w:r w:rsidRPr="00E75D83">
        <w:rPr>
          <w:rFonts w:hint="eastAsia"/>
          <w:sz w:val="20"/>
          <w:rtl/>
        </w:rPr>
        <w:t>נקבעה</w:t>
      </w:r>
      <w:r w:rsidRPr="00E75D83">
        <w:rPr>
          <w:sz w:val="20"/>
          <w:rtl/>
        </w:rPr>
        <w:t xml:space="preserve"> </w:t>
      </w:r>
      <w:r w:rsidRPr="00E75D83">
        <w:rPr>
          <w:rFonts w:hint="eastAsia"/>
          <w:sz w:val="20"/>
          <w:rtl/>
        </w:rPr>
        <w:t>תניית</w:t>
      </w:r>
      <w:r w:rsidRPr="00E75D83">
        <w:rPr>
          <w:sz w:val="20"/>
          <w:rtl/>
        </w:rPr>
        <w:t xml:space="preserve"> סילוקין בזו הלשון: </w:t>
      </w:r>
      <w:r w:rsidRPr="00E75D83">
        <w:rPr>
          <w:sz w:val="20"/>
        </w:rPr>
        <w:t>"</w:t>
      </w:r>
      <w:r w:rsidRPr="00E75D83">
        <w:rPr>
          <w:color w:val="000000"/>
          <w:sz w:val="20"/>
          <w:shd w:val="clear" w:color="auto" w:fill="FFFFFF"/>
        </w:rPr>
        <w:t>If any beneficiary hereunder […] shall contest the probate or validity of this Will or any provision thereof,</w:t>
      </w:r>
      <w:r w:rsidRPr="00E75D83">
        <w:rPr>
          <w:rStyle w:val="apple-converted-space"/>
          <w:color w:val="000000"/>
          <w:sz w:val="20"/>
          <w:shd w:val="clear" w:color="auto" w:fill="FFFFFF"/>
        </w:rPr>
        <w:t> </w:t>
      </w:r>
      <w:r w:rsidRPr="00E75D83">
        <w:rPr>
          <w:color w:val="000000"/>
          <w:sz w:val="20"/>
          <w:shd w:val="clear" w:color="auto" w:fill="FFFFFF"/>
        </w:rPr>
        <w:t>or shall institute or join in (except as a party defendant) any proceeding to contest the validity of this Will […] (</w:t>
      </w:r>
      <w:r w:rsidRPr="00E75D83">
        <w:rPr>
          <w:rStyle w:val="italic"/>
          <w:i/>
          <w:iCs/>
          <w:color w:val="000000"/>
          <w:sz w:val="20"/>
          <w:shd w:val="clear" w:color="auto" w:fill="FFFFFF"/>
        </w:rPr>
        <w:t>regardless of whether or not such proceedings are instituted in good faith and with probable cause</w:t>
      </w:r>
      <w:r w:rsidRPr="00E75D83">
        <w:rPr>
          <w:color w:val="000000"/>
          <w:sz w:val="20"/>
          <w:shd w:val="clear" w:color="auto" w:fill="FFFFFF"/>
        </w:rPr>
        <w:t>), then all benefits provided for such beneficiary are revoked and such benefits shall pass to the residuary beneficiaries of this Will"</w:t>
      </w:r>
      <w:r w:rsidRPr="00E75D83">
        <w:rPr>
          <w:color w:val="000000"/>
          <w:sz w:val="20"/>
          <w:shd w:val="clear" w:color="auto" w:fill="FFFFFF"/>
          <w:rtl/>
        </w:rPr>
        <w:t>.</w:t>
      </w:r>
    </w:p>
  </w:footnote>
  <w:footnote w:id="84">
    <w:p w14:paraId="214AA1E2" w14:textId="0C1E0E95" w:rsidR="00063AE7" w:rsidRPr="00E75D83" w:rsidRDefault="00063AE7" w:rsidP="003C0B63">
      <w:pPr>
        <w:pStyle w:val="3"/>
        <w:shd w:val="clear" w:color="auto" w:fill="FFFFFF"/>
        <w:bidi/>
        <w:spacing w:before="0" w:beforeAutospacing="0" w:after="0" w:afterAutospacing="0"/>
        <w:jc w:val="both"/>
        <w:rPr>
          <w:rFonts w:cs="David"/>
          <w:b w:val="0"/>
          <w:bCs w:val="0"/>
          <w:sz w:val="20"/>
          <w:szCs w:val="20"/>
          <w:rtl/>
        </w:rPr>
      </w:pPr>
      <w:r w:rsidRPr="00E75D83">
        <w:rPr>
          <w:rStyle w:val="a3"/>
          <w:b w:val="0"/>
          <w:bCs w:val="0"/>
          <w:sz w:val="20"/>
          <w:szCs w:val="20"/>
        </w:rPr>
        <w:footnoteRef/>
      </w:r>
      <w:r w:rsidRPr="00E75D83">
        <w:rPr>
          <w:rFonts w:cs="David"/>
          <w:b w:val="0"/>
          <w:bCs w:val="0"/>
          <w:sz w:val="20"/>
          <w:szCs w:val="20"/>
          <w:rtl/>
        </w:rPr>
        <w:t xml:space="preserve"> </w:t>
      </w:r>
      <w:r w:rsidRPr="00E75D83">
        <w:rPr>
          <w:rFonts w:cs="David" w:hint="eastAsia"/>
          <w:b w:val="0"/>
          <w:bCs w:val="0"/>
          <w:sz w:val="20"/>
          <w:szCs w:val="20"/>
          <w:rtl/>
        </w:rPr>
        <w:t>זכות</w:t>
      </w:r>
      <w:r w:rsidRPr="00E75D83">
        <w:rPr>
          <w:rFonts w:cs="David"/>
          <w:b w:val="0"/>
          <w:bCs w:val="0"/>
          <w:sz w:val="20"/>
          <w:szCs w:val="20"/>
          <w:rtl/>
        </w:rPr>
        <w:t xml:space="preserve"> הגישה לערכאות מעוגנת בס' 24(1) </w:t>
      </w:r>
      <w:proofErr w:type="spellStart"/>
      <w:r w:rsidRPr="00E75D83">
        <w:rPr>
          <w:rFonts w:cs="David" w:hint="eastAsia"/>
          <w:b w:val="0"/>
          <w:bCs w:val="0"/>
          <w:sz w:val="20"/>
          <w:szCs w:val="20"/>
          <w:rtl/>
        </w:rPr>
        <w:t>לצ</w:t>
      </w:r>
      <w:r w:rsidRPr="00E75D83">
        <w:rPr>
          <w:rFonts w:cs="David"/>
          <w:b w:val="0"/>
          <w:bCs w:val="0"/>
          <w:sz w:val="20"/>
          <w:szCs w:val="20"/>
          <w:rtl/>
        </w:rPr>
        <w:t>'ארטר</w:t>
      </w:r>
      <w:proofErr w:type="spellEnd"/>
      <w:r w:rsidRPr="00E75D83">
        <w:rPr>
          <w:rFonts w:cs="David"/>
          <w:b w:val="0"/>
          <w:bCs w:val="0"/>
          <w:sz w:val="20"/>
          <w:szCs w:val="20"/>
          <w:rtl/>
        </w:rPr>
        <w:t xml:space="preserve"> הקנדי על זכויות וחופשים שכותרתו </w:t>
      </w:r>
      <w:r w:rsidRPr="00E75D83">
        <w:rPr>
          <w:rFonts w:cs="David"/>
          <w:b w:val="0"/>
          <w:bCs w:val="0"/>
          <w:sz w:val="20"/>
          <w:szCs w:val="20"/>
        </w:rPr>
        <w:t>Enforcement Of Guaranteed Rights And Freedoms</w:t>
      </w:r>
      <w:r w:rsidRPr="00E75D83">
        <w:rPr>
          <w:rFonts w:cs="David"/>
          <w:sz w:val="20"/>
          <w:szCs w:val="20"/>
          <w:rtl/>
        </w:rPr>
        <w:t xml:space="preserve"> </w:t>
      </w:r>
      <w:r w:rsidRPr="00E75D83">
        <w:rPr>
          <w:rFonts w:cs="David" w:hint="eastAsia"/>
          <w:b w:val="0"/>
          <w:bCs w:val="0"/>
          <w:sz w:val="20"/>
          <w:szCs w:val="20"/>
          <w:rtl/>
        </w:rPr>
        <w:t>אשר</w:t>
      </w:r>
      <w:r w:rsidRPr="00E75D83">
        <w:rPr>
          <w:rFonts w:cs="David"/>
          <w:b w:val="0"/>
          <w:bCs w:val="0"/>
          <w:sz w:val="20"/>
          <w:szCs w:val="20"/>
          <w:rtl/>
        </w:rPr>
        <w:t xml:space="preserve"> קובע כך: </w:t>
      </w:r>
      <w:r w:rsidRPr="00E75D83">
        <w:rPr>
          <w:rFonts w:cs="David"/>
          <w:b w:val="0"/>
          <w:bCs w:val="0"/>
          <w:sz w:val="20"/>
          <w:szCs w:val="20"/>
        </w:rPr>
        <w:t>"Anyone whose rights or freedoms, as guaranteed by this Charter, have been infringed or denied may apply to a court of competent jurisdiction to obtain such remedy as the court considers appropriate and just in the circumstance</w:t>
      </w:r>
      <w:r>
        <w:rPr>
          <w:rFonts w:cs="David"/>
          <w:b w:val="0"/>
          <w:bCs w:val="0"/>
          <w:sz w:val="20"/>
          <w:szCs w:val="20"/>
        </w:rPr>
        <w:t>"</w:t>
      </w:r>
      <w:r w:rsidRPr="00E75D83">
        <w:rPr>
          <w:rFonts w:cs="David"/>
          <w:b w:val="0"/>
          <w:bCs w:val="0"/>
          <w:sz w:val="20"/>
          <w:szCs w:val="20"/>
          <w:rtl/>
        </w:rPr>
        <w:t xml:space="preserve">, ראו: </w:t>
      </w:r>
      <w:r w:rsidRPr="00E75D83">
        <w:rPr>
          <w:rFonts w:cs="David"/>
          <w:b w:val="0"/>
          <w:bCs w:val="0"/>
          <w:sz w:val="20"/>
          <w:szCs w:val="20"/>
        </w:rPr>
        <w:t>Canadian Charter of Rights and Freedoms, (1982)</w:t>
      </w:r>
      <w:r w:rsidRPr="00E75D83">
        <w:rPr>
          <w:rFonts w:cs="David"/>
          <w:b w:val="0"/>
          <w:bCs w:val="0"/>
          <w:sz w:val="20"/>
          <w:szCs w:val="20"/>
          <w:rtl/>
        </w:rPr>
        <w:t>. על</w:t>
      </w:r>
      <w:r>
        <w:rPr>
          <w:rFonts w:cs="David" w:hint="cs"/>
          <w:b w:val="0"/>
          <w:bCs w:val="0"/>
          <w:sz w:val="20"/>
          <w:szCs w:val="20"/>
          <w:rtl/>
        </w:rPr>
        <w:t xml:space="preserve"> </w:t>
      </w:r>
      <w:r w:rsidRPr="00E75D83">
        <w:rPr>
          <w:rFonts w:cs="David"/>
          <w:b w:val="0"/>
          <w:bCs w:val="0"/>
          <w:sz w:val="20"/>
          <w:szCs w:val="20"/>
          <w:rtl/>
        </w:rPr>
        <w:t xml:space="preserve">כן, זכות הגישה מוגבלת ליישום בעניינים בהם מדובר בפנייה לערכאות לשם הגנה על זכות המוגנת </w:t>
      </w:r>
      <w:r w:rsidRPr="00E75D83">
        <w:rPr>
          <w:rFonts w:cs="David" w:hint="eastAsia"/>
          <w:b w:val="0"/>
          <w:bCs w:val="0"/>
          <w:sz w:val="20"/>
          <w:szCs w:val="20"/>
          <w:rtl/>
        </w:rPr>
        <w:t>בצ</w:t>
      </w:r>
      <w:r w:rsidRPr="00E75D83">
        <w:rPr>
          <w:rFonts w:cs="David"/>
          <w:b w:val="0"/>
          <w:bCs w:val="0"/>
          <w:sz w:val="20"/>
          <w:szCs w:val="20"/>
          <w:rtl/>
        </w:rPr>
        <w:t>'ארטר עצמו, ראו:</w:t>
      </w:r>
      <w:r w:rsidRPr="00E75D83">
        <w:rPr>
          <w:rFonts w:cs="David"/>
          <w:b w:val="0"/>
          <w:bCs w:val="0"/>
          <w:sz w:val="20"/>
          <w:szCs w:val="20"/>
        </w:rPr>
        <w:t>.Nelles v. Ontario, [1989] 2 S.C.R. 170, 195–</w:t>
      </w:r>
      <w:proofErr w:type="gramStart"/>
      <w:r w:rsidRPr="00E75D83">
        <w:rPr>
          <w:rFonts w:cs="David"/>
          <w:b w:val="0"/>
          <w:bCs w:val="0"/>
          <w:sz w:val="20"/>
          <w:szCs w:val="20"/>
        </w:rPr>
        <w:t xml:space="preserve">196 </w:t>
      </w:r>
      <w:r w:rsidRPr="00E75D83">
        <w:rPr>
          <w:rFonts w:cs="David"/>
          <w:b w:val="0"/>
          <w:bCs w:val="0"/>
          <w:sz w:val="20"/>
          <w:szCs w:val="20"/>
          <w:rtl/>
        </w:rPr>
        <w:t xml:space="preserve"> </w:t>
      </w:r>
      <w:r w:rsidRPr="00E75D83">
        <w:rPr>
          <w:rFonts w:cs="David" w:hint="eastAsia"/>
          <w:b w:val="0"/>
          <w:bCs w:val="0"/>
          <w:sz w:val="20"/>
          <w:szCs w:val="20"/>
          <w:rtl/>
        </w:rPr>
        <w:t>במקרים</w:t>
      </w:r>
      <w:proofErr w:type="gramEnd"/>
      <w:r w:rsidRPr="00E75D83">
        <w:rPr>
          <w:rFonts w:cs="David"/>
          <w:b w:val="0"/>
          <w:bCs w:val="0"/>
          <w:sz w:val="20"/>
          <w:szCs w:val="20"/>
          <w:rtl/>
        </w:rPr>
        <w:t xml:space="preserve"> </w:t>
      </w:r>
      <w:r w:rsidRPr="00E75D83">
        <w:rPr>
          <w:rFonts w:cs="David" w:hint="eastAsia"/>
          <w:b w:val="0"/>
          <w:bCs w:val="0"/>
          <w:sz w:val="20"/>
          <w:szCs w:val="20"/>
          <w:rtl/>
        </w:rPr>
        <w:t>מסוימים</w:t>
      </w:r>
      <w:r w:rsidRPr="00E75D83">
        <w:rPr>
          <w:rFonts w:cs="David"/>
          <w:b w:val="0"/>
          <w:bCs w:val="0"/>
          <w:sz w:val="20"/>
          <w:szCs w:val="20"/>
          <w:rtl/>
        </w:rPr>
        <w:t xml:space="preserve">, </w:t>
      </w:r>
      <w:r w:rsidRPr="00E75D83">
        <w:rPr>
          <w:rFonts w:cs="David" w:hint="eastAsia"/>
          <w:b w:val="0"/>
          <w:bCs w:val="0"/>
          <w:sz w:val="20"/>
          <w:szCs w:val="20"/>
          <w:rtl/>
        </w:rPr>
        <w:t>מצאו</w:t>
      </w:r>
      <w:r w:rsidRPr="00E75D83">
        <w:rPr>
          <w:rFonts w:cs="David"/>
          <w:b w:val="0"/>
          <w:bCs w:val="0"/>
          <w:sz w:val="20"/>
          <w:szCs w:val="20"/>
          <w:rtl/>
        </w:rPr>
        <w:t xml:space="preserve"> </w:t>
      </w:r>
      <w:r w:rsidRPr="00E75D83">
        <w:rPr>
          <w:rFonts w:cs="David" w:hint="eastAsia"/>
          <w:b w:val="0"/>
          <w:bCs w:val="0"/>
          <w:sz w:val="20"/>
          <w:szCs w:val="20"/>
          <w:rtl/>
        </w:rPr>
        <w:t>בתי</w:t>
      </w:r>
      <w:r w:rsidRPr="00E75D83">
        <w:rPr>
          <w:rFonts w:cs="David"/>
          <w:b w:val="0"/>
          <w:bCs w:val="0"/>
          <w:sz w:val="20"/>
          <w:szCs w:val="20"/>
          <w:rtl/>
        </w:rPr>
        <w:t xml:space="preserve"> </w:t>
      </w:r>
      <w:r w:rsidRPr="00E75D83">
        <w:rPr>
          <w:rFonts w:cs="David" w:hint="eastAsia"/>
          <w:b w:val="0"/>
          <w:bCs w:val="0"/>
          <w:sz w:val="20"/>
          <w:szCs w:val="20"/>
          <w:rtl/>
        </w:rPr>
        <w:t>המשפט</w:t>
      </w:r>
      <w:r w:rsidRPr="00E75D83">
        <w:rPr>
          <w:rFonts w:cs="David"/>
          <w:b w:val="0"/>
          <w:bCs w:val="0"/>
          <w:sz w:val="20"/>
          <w:szCs w:val="20"/>
          <w:rtl/>
        </w:rPr>
        <w:t xml:space="preserve"> </w:t>
      </w:r>
      <w:r w:rsidRPr="00E75D83">
        <w:rPr>
          <w:rFonts w:cs="David" w:hint="eastAsia"/>
          <w:b w:val="0"/>
          <w:bCs w:val="0"/>
          <w:sz w:val="20"/>
          <w:szCs w:val="20"/>
          <w:rtl/>
        </w:rPr>
        <w:t>עיגון</w:t>
      </w:r>
      <w:r w:rsidRPr="00E75D83">
        <w:rPr>
          <w:rFonts w:cs="David"/>
          <w:b w:val="0"/>
          <w:bCs w:val="0"/>
          <w:sz w:val="20"/>
          <w:szCs w:val="20"/>
          <w:rtl/>
        </w:rPr>
        <w:t xml:space="preserve"> </w:t>
      </w:r>
      <w:r w:rsidRPr="00E75D83">
        <w:rPr>
          <w:rFonts w:cs="David" w:hint="eastAsia"/>
          <w:b w:val="0"/>
          <w:bCs w:val="0"/>
          <w:sz w:val="20"/>
          <w:szCs w:val="20"/>
          <w:rtl/>
        </w:rPr>
        <w:t>לזכות</w:t>
      </w:r>
      <w:r w:rsidRPr="00E75D83">
        <w:rPr>
          <w:rFonts w:cs="David"/>
          <w:b w:val="0"/>
          <w:bCs w:val="0"/>
          <w:sz w:val="20"/>
          <w:szCs w:val="20"/>
          <w:rtl/>
        </w:rPr>
        <w:t xml:space="preserve"> </w:t>
      </w:r>
      <w:r w:rsidRPr="00E75D83">
        <w:rPr>
          <w:rFonts w:cs="David" w:hint="eastAsia"/>
          <w:b w:val="0"/>
          <w:bCs w:val="0"/>
          <w:sz w:val="20"/>
          <w:szCs w:val="20"/>
          <w:rtl/>
        </w:rPr>
        <w:t>הגישה</w:t>
      </w:r>
      <w:r w:rsidRPr="00E75D83">
        <w:rPr>
          <w:rFonts w:cs="David"/>
          <w:b w:val="0"/>
          <w:bCs w:val="0"/>
          <w:sz w:val="20"/>
          <w:szCs w:val="20"/>
          <w:rtl/>
        </w:rPr>
        <w:t xml:space="preserve"> </w:t>
      </w:r>
      <w:r w:rsidRPr="00E75D83">
        <w:rPr>
          <w:rFonts w:cs="David" w:hint="eastAsia"/>
          <w:b w:val="0"/>
          <w:bCs w:val="0"/>
          <w:sz w:val="20"/>
          <w:szCs w:val="20"/>
          <w:rtl/>
        </w:rPr>
        <w:t>בסעיפים</w:t>
      </w:r>
      <w:r w:rsidRPr="00E75D83">
        <w:rPr>
          <w:rFonts w:cs="David"/>
          <w:b w:val="0"/>
          <w:bCs w:val="0"/>
          <w:sz w:val="20"/>
          <w:szCs w:val="20"/>
          <w:rtl/>
        </w:rPr>
        <w:t xml:space="preserve"> </w:t>
      </w:r>
      <w:r w:rsidRPr="00E75D83">
        <w:rPr>
          <w:rFonts w:cs="David" w:hint="eastAsia"/>
          <w:b w:val="0"/>
          <w:bCs w:val="0"/>
          <w:sz w:val="20"/>
          <w:szCs w:val="20"/>
          <w:rtl/>
        </w:rPr>
        <w:t>הכלליים</w:t>
      </w:r>
      <w:r w:rsidRPr="00E75D83">
        <w:rPr>
          <w:rFonts w:cs="David"/>
          <w:b w:val="0"/>
          <w:bCs w:val="0"/>
          <w:sz w:val="20"/>
          <w:szCs w:val="20"/>
          <w:rtl/>
        </w:rPr>
        <w:t xml:space="preserve"> </w:t>
      </w:r>
      <w:r w:rsidRPr="00E75D83">
        <w:rPr>
          <w:rFonts w:cs="David" w:hint="eastAsia"/>
          <w:b w:val="0"/>
          <w:bCs w:val="0"/>
          <w:sz w:val="20"/>
          <w:szCs w:val="20"/>
          <w:rtl/>
        </w:rPr>
        <w:t>של</w:t>
      </w:r>
      <w:r w:rsidRPr="00E75D83">
        <w:rPr>
          <w:rFonts w:cs="David"/>
          <w:b w:val="0"/>
          <w:bCs w:val="0"/>
          <w:sz w:val="20"/>
          <w:szCs w:val="20"/>
          <w:rtl/>
        </w:rPr>
        <w:t xml:space="preserve"> </w:t>
      </w:r>
      <w:r w:rsidRPr="00E75D83">
        <w:rPr>
          <w:rFonts w:cs="David" w:hint="eastAsia"/>
          <w:b w:val="0"/>
          <w:bCs w:val="0"/>
          <w:sz w:val="20"/>
          <w:szCs w:val="20"/>
          <w:rtl/>
        </w:rPr>
        <w:t>החוקה</w:t>
      </w:r>
      <w:r w:rsidRPr="00E75D83">
        <w:rPr>
          <w:rFonts w:cs="David"/>
          <w:b w:val="0"/>
          <w:bCs w:val="0"/>
          <w:sz w:val="20"/>
          <w:szCs w:val="20"/>
          <w:rtl/>
        </w:rPr>
        <w:t xml:space="preserve"> </w:t>
      </w:r>
      <w:r w:rsidRPr="00E75D83">
        <w:rPr>
          <w:rFonts w:cs="David" w:hint="eastAsia"/>
          <w:b w:val="0"/>
          <w:bCs w:val="0"/>
          <w:sz w:val="20"/>
          <w:szCs w:val="20"/>
          <w:rtl/>
        </w:rPr>
        <w:t>הקנדית</w:t>
      </w:r>
      <w:r w:rsidRPr="00E75D83">
        <w:rPr>
          <w:rFonts w:cs="David"/>
          <w:b w:val="0"/>
          <w:bCs w:val="0"/>
          <w:sz w:val="20"/>
          <w:szCs w:val="20"/>
          <w:rtl/>
        </w:rPr>
        <w:t xml:space="preserve"> </w:t>
      </w:r>
      <w:r w:rsidRPr="00E75D83">
        <w:rPr>
          <w:rFonts w:cs="David" w:hint="eastAsia"/>
          <w:b w:val="0"/>
          <w:bCs w:val="0"/>
          <w:sz w:val="20"/>
          <w:szCs w:val="20"/>
          <w:rtl/>
        </w:rPr>
        <w:t>שאינם</w:t>
      </w:r>
      <w:r w:rsidRPr="00E75D83">
        <w:rPr>
          <w:rFonts w:cs="David"/>
          <w:b w:val="0"/>
          <w:bCs w:val="0"/>
          <w:sz w:val="20"/>
          <w:szCs w:val="20"/>
          <w:rtl/>
        </w:rPr>
        <w:t xml:space="preserve"> </w:t>
      </w:r>
      <w:r w:rsidRPr="00E75D83">
        <w:rPr>
          <w:rFonts w:cs="David" w:hint="eastAsia"/>
          <w:b w:val="0"/>
          <w:bCs w:val="0"/>
          <w:sz w:val="20"/>
          <w:szCs w:val="20"/>
          <w:rtl/>
        </w:rPr>
        <w:t>נוגעים</w:t>
      </w:r>
      <w:r w:rsidRPr="00E75D83">
        <w:rPr>
          <w:rFonts w:cs="David"/>
          <w:b w:val="0"/>
          <w:bCs w:val="0"/>
          <w:sz w:val="20"/>
          <w:szCs w:val="20"/>
          <w:rtl/>
        </w:rPr>
        <w:t xml:space="preserve"> </w:t>
      </w:r>
      <w:r w:rsidRPr="00E75D83">
        <w:rPr>
          <w:rFonts w:cs="David" w:hint="eastAsia"/>
          <w:b w:val="0"/>
          <w:bCs w:val="0"/>
          <w:sz w:val="20"/>
          <w:szCs w:val="20"/>
          <w:rtl/>
        </w:rPr>
        <w:t>למגילת</w:t>
      </w:r>
      <w:r w:rsidRPr="00E75D83">
        <w:rPr>
          <w:rFonts w:cs="David"/>
          <w:b w:val="0"/>
          <w:bCs w:val="0"/>
          <w:sz w:val="20"/>
          <w:szCs w:val="20"/>
          <w:rtl/>
        </w:rPr>
        <w:t xml:space="preserve"> </w:t>
      </w:r>
      <w:r w:rsidRPr="00E75D83">
        <w:rPr>
          <w:rFonts w:cs="David" w:hint="eastAsia"/>
          <w:b w:val="0"/>
          <w:bCs w:val="0"/>
          <w:sz w:val="20"/>
          <w:szCs w:val="20"/>
          <w:rtl/>
        </w:rPr>
        <w:t>הזכויות</w:t>
      </w:r>
      <w:r w:rsidRPr="00E75D83">
        <w:rPr>
          <w:rFonts w:cs="David"/>
          <w:b w:val="0"/>
          <w:bCs w:val="0"/>
          <w:sz w:val="20"/>
          <w:szCs w:val="20"/>
          <w:rtl/>
        </w:rPr>
        <w:t xml:space="preserve"> </w:t>
      </w:r>
      <w:r w:rsidRPr="00E75D83">
        <w:rPr>
          <w:rFonts w:cs="David" w:hint="eastAsia"/>
          <w:b w:val="0"/>
          <w:bCs w:val="0"/>
          <w:sz w:val="20"/>
          <w:szCs w:val="20"/>
          <w:rtl/>
        </w:rPr>
        <w:t>ופסלו</w:t>
      </w:r>
      <w:r w:rsidRPr="00E75D83">
        <w:rPr>
          <w:rFonts w:cs="David"/>
          <w:b w:val="0"/>
          <w:bCs w:val="0"/>
          <w:sz w:val="20"/>
          <w:szCs w:val="20"/>
          <w:rtl/>
        </w:rPr>
        <w:t xml:space="preserve"> </w:t>
      </w:r>
      <w:r w:rsidRPr="00E75D83">
        <w:rPr>
          <w:rFonts w:cs="David" w:hint="eastAsia"/>
          <w:b w:val="0"/>
          <w:bCs w:val="0"/>
          <w:sz w:val="20"/>
          <w:szCs w:val="20"/>
          <w:rtl/>
        </w:rPr>
        <w:t>חקיקת</w:t>
      </w:r>
      <w:r w:rsidRPr="00E75D83">
        <w:rPr>
          <w:rFonts w:cs="David"/>
          <w:b w:val="0"/>
          <w:bCs w:val="0"/>
          <w:sz w:val="20"/>
          <w:szCs w:val="20"/>
          <w:rtl/>
        </w:rPr>
        <w:t xml:space="preserve"> </w:t>
      </w:r>
      <w:r w:rsidRPr="00E75D83">
        <w:rPr>
          <w:rFonts w:cs="David" w:hint="eastAsia"/>
          <w:b w:val="0"/>
          <w:bCs w:val="0"/>
          <w:sz w:val="20"/>
          <w:szCs w:val="20"/>
          <w:rtl/>
        </w:rPr>
        <w:t>משנה</w:t>
      </w:r>
      <w:r w:rsidRPr="00E75D83">
        <w:rPr>
          <w:rFonts w:cs="David"/>
          <w:b w:val="0"/>
          <w:bCs w:val="0"/>
          <w:sz w:val="20"/>
          <w:szCs w:val="20"/>
          <w:rtl/>
        </w:rPr>
        <w:t xml:space="preserve"> </w:t>
      </w:r>
      <w:r w:rsidRPr="00E75D83">
        <w:rPr>
          <w:rFonts w:cs="David" w:hint="eastAsia"/>
          <w:b w:val="0"/>
          <w:bCs w:val="0"/>
          <w:sz w:val="20"/>
          <w:szCs w:val="20"/>
          <w:rtl/>
        </w:rPr>
        <w:t>על</w:t>
      </w:r>
      <w:r w:rsidRPr="00E75D83">
        <w:rPr>
          <w:rFonts w:cs="David"/>
          <w:b w:val="0"/>
          <w:bCs w:val="0"/>
          <w:sz w:val="20"/>
          <w:szCs w:val="20"/>
          <w:rtl/>
        </w:rPr>
        <w:t xml:space="preserve"> </w:t>
      </w:r>
      <w:r w:rsidRPr="00E75D83">
        <w:rPr>
          <w:rFonts w:cs="David" w:hint="eastAsia"/>
          <w:b w:val="0"/>
          <w:bCs w:val="0"/>
          <w:sz w:val="20"/>
          <w:szCs w:val="20"/>
          <w:rtl/>
        </w:rPr>
        <w:t>רקע</w:t>
      </w:r>
      <w:r w:rsidRPr="00E75D83">
        <w:rPr>
          <w:rFonts w:cs="David"/>
          <w:b w:val="0"/>
          <w:bCs w:val="0"/>
          <w:sz w:val="20"/>
          <w:szCs w:val="20"/>
          <w:rtl/>
        </w:rPr>
        <w:t xml:space="preserve"> </w:t>
      </w:r>
      <w:r w:rsidRPr="00E75D83">
        <w:rPr>
          <w:rFonts w:cs="David" w:hint="eastAsia"/>
          <w:b w:val="0"/>
          <w:bCs w:val="0"/>
          <w:sz w:val="20"/>
          <w:szCs w:val="20"/>
          <w:rtl/>
        </w:rPr>
        <w:t>זה</w:t>
      </w:r>
      <w:r w:rsidRPr="00E75D83">
        <w:rPr>
          <w:rFonts w:cs="David"/>
          <w:b w:val="0"/>
          <w:bCs w:val="0"/>
          <w:sz w:val="20"/>
          <w:szCs w:val="20"/>
          <w:rtl/>
        </w:rPr>
        <w:t xml:space="preserve">. </w:t>
      </w:r>
      <w:r w:rsidRPr="00E75D83">
        <w:rPr>
          <w:rFonts w:cs="David" w:hint="eastAsia"/>
          <w:b w:val="0"/>
          <w:bCs w:val="0"/>
          <w:sz w:val="20"/>
          <w:szCs w:val="20"/>
          <w:rtl/>
        </w:rPr>
        <w:t>כך</w:t>
      </w:r>
      <w:r>
        <w:rPr>
          <w:rFonts w:cs="David" w:hint="cs"/>
          <w:b w:val="0"/>
          <w:bCs w:val="0"/>
          <w:sz w:val="20"/>
          <w:szCs w:val="20"/>
          <w:rtl/>
        </w:rPr>
        <w:t>,</w:t>
      </w:r>
      <w:r w:rsidRPr="00E75D83">
        <w:rPr>
          <w:rFonts w:cs="David"/>
          <w:b w:val="0"/>
          <w:bCs w:val="0"/>
          <w:sz w:val="20"/>
          <w:szCs w:val="20"/>
          <w:rtl/>
        </w:rPr>
        <w:t xml:space="preserve"> </w:t>
      </w:r>
      <w:r w:rsidRPr="00E75D83">
        <w:rPr>
          <w:rFonts w:cs="David" w:hint="eastAsia"/>
          <w:b w:val="0"/>
          <w:bCs w:val="0"/>
          <w:sz w:val="20"/>
          <w:szCs w:val="20"/>
          <w:rtl/>
        </w:rPr>
        <w:t>למשל</w:t>
      </w:r>
      <w:r>
        <w:rPr>
          <w:rFonts w:cs="David" w:hint="cs"/>
          <w:b w:val="0"/>
          <w:bCs w:val="0"/>
          <w:sz w:val="20"/>
          <w:szCs w:val="20"/>
          <w:rtl/>
        </w:rPr>
        <w:t>,</w:t>
      </w:r>
      <w:r w:rsidRPr="00E75D83">
        <w:rPr>
          <w:rFonts w:cs="David"/>
          <w:b w:val="0"/>
          <w:bCs w:val="0"/>
          <w:sz w:val="20"/>
          <w:szCs w:val="20"/>
          <w:rtl/>
        </w:rPr>
        <w:t xml:space="preserve"> </w:t>
      </w:r>
      <w:r w:rsidRPr="00E75D83">
        <w:rPr>
          <w:rFonts w:cs="David" w:hint="eastAsia"/>
          <w:b w:val="0"/>
          <w:bCs w:val="0"/>
          <w:sz w:val="20"/>
          <w:szCs w:val="20"/>
          <w:rtl/>
        </w:rPr>
        <w:t>נפסלו</w:t>
      </w:r>
      <w:r w:rsidRPr="00E75D83">
        <w:rPr>
          <w:rFonts w:cs="David"/>
          <w:b w:val="0"/>
          <w:bCs w:val="0"/>
          <w:sz w:val="20"/>
          <w:szCs w:val="20"/>
          <w:rtl/>
        </w:rPr>
        <w:t xml:space="preserve"> </w:t>
      </w:r>
      <w:r w:rsidRPr="00E75D83">
        <w:rPr>
          <w:rFonts w:cs="David" w:hint="eastAsia"/>
          <w:b w:val="0"/>
          <w:bCs w:val="0"/>
          <w:sz w:val="20"/>
          <w:szCs w:val="20"/>
          <w:rtl/>
        </w:rPr>
        <w:t>תקנות</w:t>
      </w:r>
      <w:r w:rsidRPr="00E75D83">
        <w:rPr>
          <w:rFonts w:cs="David"/>
          <w:b w:val="0"/>
          <w:bCs w:val="0"/>
          <w:sz w:val="20"/>
          <w:szCs w:val="20"/>
          <w:rtl/>
        </w:rPr>
        <w:t xml:space="preserve"> </w:t>
      </w:r>
      <w:r w:rsidRPr="00E75D83">
        <w:rPr>
          <w:rFonts w:cs="David" w:hint="eastAsia"/>
          <w:b w:val="0"/>
          <w:bCs w:val="0"/>
          <w:sz w:val="20"/>
          <w:szCs w:val="20"/>
          <w:rtl/>
        </w:rPr>
        <w:t>בדבר</w:t>
      </w:r>
      <w:r w:rsidRPr="00E75D83">
        <w:rPr>
          <w:rFonts w:cs="David"/>
          <w:b w:val="0"/>
          <w:bCs w:val="0"/>
          <w:sz w:val="20"/>
          <w:szCs w:val="20"/>
          <w:rtl/>
        </w:rPr>
        <w:t xml:space="preserve"> </w:t>
      </w:r>
      <w:r w:rsidRPr="00E75D83">
        <w:rPr>
          <w:rFonts w:cs="David" w:hint="eastAsia"/>
          <w:b w:val="0"/>
          <w:bCs w:val="0"/>
          <w:sz w:val="20"/>
          <w:szCs w:val="20"/>
          <w:rtl/>
        </w:rPr>
        <w:t>תשלום</w:t>
      </w:r>
      <w:r w:rsidRPr="00E75D83">
        <w:rPr>
          <w:rFonts w:cs="David"/>
          <w:b w:val="0"/>
          <w:bCs w:val="0"/>
          <w:sz w:val="20"/>
          <w:szCs w:val="20"/>
          <w:rtl/>
        </w:rPr>
        <w:t xml:space="preserve"> </w:t>
      </w:r>
      <w:r w:rsidRPr="00E75D83">
        <w:rPr>
          <w:rFonts w:cs="David" w:hint="eastAsia"/>
          <w:b w:val="0"/>
          <w:bCs w:val="0"/>
          <w:sz w:val="20"/>
          <w:szCs w:val="20"/>
          <w:rtl/>
        </w:rPr>
        <w:t>אגרה</w:t>
      </w:r>
      <w:r w:rsidRPr="00E75D83">
        <w:rPr>
          <w:rFonts w:cs="David"/>
          <w:b w:val="0"/>
          <w:bCs w:val="0"/>
          <w:sz w:val="20"/>
          <w:szCs w:val="20"/>
          <w:rtl/>
        </w:rPr>
        <w:t xml:space="preserve"> </w:t>
      </w:r>
      <w:r w:rsidRPr="00E75D83">
        <w:rPr>
          <w:rFonts w:cs="David" w:hint="eastAsia"/>
          <w:b w:val="0"/>
          <w:bCs w:val="0"/>
          <w:sz w:val="20"/>
          <w:szCs w:val="20"/>
          <w:rtl/>
        </w:rPr>
        <w:t>מן</w:t>
      </w:r>
      <w:r w:rsidRPr="00E75D83">
        <w:rPr>
          <w:rFonts w:cs="David"/>
          <w:b w:val="0"/>
          <w:bCs w:val="0"/>
          <w:sz w:val="20"/>
          <w:szCs w:val="20"/>
          <w:rtl/>
        </w:rPr>
        <w:t xml:space="preserve"> </w:t>
      </w:r>
      <w:r w:rsidRPr="00E75D83">
        <w:rPr>
          <w:rFonts w:cs="David" w:hint="eastAsia"/>
          <w:b w:val="0"/>
          <w:bCs w:val="0"/>
          <w:sz w:val="20"/>
          <w:szCs w:val="20"/>
          <w:rtl/>
        </w:rPr>
        <w:t>הטעם</w:t>
      </w:r>
      <w:r w:rsidRPr="00E75D83">
        <w:rPr>
          <w:rFonts w:cs="David"/>
          <w:b w:val="0"/>
          <w:bCs w:val="0"/>
          <w:sz w:val="20"/>
          <w:szCs w:val="20"/>
          <w:rtl/>
        </w:rPr>
        <w:t xml:space="preserve"> </w:t>
      </w:r>
      <w:r w:rsidRPr="00E75D83">
        <w:rPr>
          <w:rFonts w:cs="David" w:hint="eastAsia"/>
          <w:b w:val="0"/>
          <w:bCs w:val="0"/>
          <w:sz w:val="20"/>
          <w:szCs w:val="20"/>
          <w:rtl/>
        </w:rPr>
        <w:t>שהן</w:t>
      </w:r>
      <w:r w:rsidRPr="00E75D83">
        <w:rPr>
          <w:rFonts w:cs="David"/>
          <w:b w:val="0"/>
          <w:bCs w:val="0"/>
          <w:sz w:val="20"/>
          <w:szCs w:val="20"/>
          <w:rtl/>
        </w:rPr>
        <w:t xml:space="preserve"> </w:t>
      </w:r>
      <w:r w:rsidRPr="00E75D83">
        <w:rPr>
          <w:rFonts w:cs="David" w:hint="eastAsia"/>
          <w:b w:val="0"/>
          <w:bCs w:val="0"/>
          <w:sz w:val="20"/>
          <w:szCs w:val="20"/>
          <w:rtl/>
        </w:rPr>
        <w:t>חוסמות</w:t>
      </w:r>
      <w:r w:rsidRPr="00E75D83">
        <w:rPr>
          <w:rFonts w:cs="David"/>
          <w:b w:val="0"/>
          <w:bCs w:val="0"/>
          <w:sz w:val="20"/>
          <w:szCs w:val="20"/>
          <w:rtl/>
        </w:rPr>
        <w:t xml:space="preserve"> </w:t>
      </w:r>
      <w:r w:rsidRPr="00E75D83">
        <w:rPr>
          <w:rFonts w:cs="David" w:hint="eastAsia"/>
          <w:b w:val="0"/>
          <w:bCs w:val="0"/>
          <w:sz w:val="20"/>
          <w:szCs w:val="20"/>
          <w:rtl/>
        </w:rPr>
        <w:t>את</w:t>
      </w:r>
      <w:r w:rsidRPr="00E75D83">
        <w:rPr>
          <w:rFonts w:cs="David"/>
          <w:b w:val="0"/>
          <w:bCs w:val="0"/>
          <w:sz w:val="20"/>
          <w:szCs w:val="20"/>
          <w:rtl/>
        </w:rPr>
        <w:t xml:space="preserve"> </w:t>
      </w:r>
      <w:r w:rsidRPr="00E75D83">
        <w:rPr>
          <w:rFonts w:cs="David" w:hint="eastAsia"/>
          <w:b w:val="0"/>
          <w:bCs w:val="0"/>
          <w:sz w:val="20"/>
          <w:szCs w:val="20"/>
          <w:rtl/>
        </w:rPr>
        <w:t>הדרך</w:t>
      </w:r>
      <w:r w:rsidRPr="00E75D83">
        <w:rPr>
          <w:rFonts w:cs="David"/>
          <w:b w:val="0"/>
          <w:bCs w:val="0"/>
          <w:sz w:val="20"/>
          <w:szCs w:val="20"/>
          <w:rtl/>
        </w:rPr>
        <w:t xml:space="preserve"> </w:t>
      </w:r>
      <w:r w:rsidRPr="00E75D83">
        <w:rPr>
          <w:rFonts w:cs="David" w:hint="eastAsia"/>
          <w:b w:val="0"/>
          <w:bCs w:val="0"/>
          <w:sz w:val="20"/>
          <w:szCs w:val="20"/>
          <w:rtl/>
        </w:rPr>
        <w:t>לבית</w:t>
      </w:r>
      <w:r w:rsidRPr="00E75D83">
        <w:rPr>
          <w:rFonts w:cs="David"/>
          <w:b w:val="0"/>
          <w:bCs w:val="0"/>
          <w:sz w:val="20"/>
          <w:szCs w:val="20"/>
          <w:rtl/>
        </w:rPr>
        <w:t xml:space="preserve"> </w:t>
      </w:r>
      <w:r w:rsidRPr="00E75D83">
        <w:rPr>
          <w:rFonts w:cs="David" w:hint="eastAsia"/>
          <w:b w:val="0"/>
          <w:bCs w:val="0"/>
          <w:sz w:val="20"/>
          <w:szCs w:val="20"/>
          <w:rtl/>
        </w:rPr>
        <w:t>המשפט</w:t>
      </w:r>
      <w:r w:rsidRPr="00E75D83">
        <w:rPr>
          <w:rFonts w:cs="David"/>
          <w:b w:val="0"/>
          <w:bCs w:val="0"/>
          <w:sz w:val="20"/>
          <w:szCs w:val="20"/>
          <w:rtl/>
        </w:rPr>
        <w:t xml:space="preserve">, </w:t>
      </w:r>
      <w:r w:rsidRPr="00E75D83">
        <w:rPr>
          <w:rFonts w:cs="David" w:hint="eastAsia"/>
          <w:b w:val="0"/>
          <w:bCs w:val="0"/>
          <w:sz w:val="20"/>
          <w:szCs w:val="20"/>
          <w:rtl/>
        </w:rPr>
        <w:t>ראו</w:t>
      </w:r>
      <w:r w:rsidRPr="00E75D83">
        <w:rPr>
          <w:rFonts w:cs="David"/>
          <w:b w:val="0"/>
          <w:bCs w:val="0"/>
          <w:sz w:val="20"/>
          <w:szCs w:val="20"/>
          <w:rtl/>
        </w:rPr>
        <w:t>:</w:t>
      </w:r>
      <w:r w:rsidRPr="00E75D83">
        <w:rPr>
          <w:rFonts w:cs="David"/>
          <w:b w:val="0"/>
          <w:bCs w:val="0"/>
          <w:sz w:val="20"/>
          <w:szCs w:val="20"/>
        </w:rPr>
        <w:t>Trial Lawyers Association of British Columbia and Canadian Bar Association - British Columbia Branch v. Attorney General of British Columbia</w:t>
      </w:r>
      <w:r w:rsidRPr="00E75D83">
        <w:rPr>
          <w:rFonts w:cs="David"/>
          <w:b w:val="0"/>
          <w:bCs w:val="0"/>
          <w:sz w:val="20"/>
          <w:szCs w:val="20"/>
          <w:shd w:val="clear" w:color="auto" w:fill="FFFFFF"/>
        </w:rPr>
        <w:t>, [2014] S.C.C. 59</w:t>
      </w:r>
      <w:r w:rsidRPr="00E75D83">
        <w:rPr>
          <w:rFonts w:cs="David"/>
          <w:b w:val="0"/>
          <w:bCs w:val="0"/>
          <w:sz w:val="20"/>
          <w:szCs w:val="20"/>
          <w:rtl/>
        </w:rPr>
        <w:t>.</w:t>
      </w:r>
    </w:p>
  </w:footnote>
  <w:footnote w:id="85">
    <w:p w14:paraId="473116BF" w14:textId="77777777" w:rsidR="00063AE7" w:rsidRPr="00E75D83" w:rsidRDefault="00063AE7" w:rsidP="00D15E62">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ההחלטה</w:t>
      </w:r>
      <w:r w:rsidRPr="00E75D83">
        <w:rPr>
          <w:sz w:val="20"/>
          <w:rtl/>
        </w:rPr>
        <w:t xml:space="preserve"> בסוגיה זו אינה נוגעת רק למידת המזונות אלא גם לעצם שאלת הזכאות בהתאם לקריטריונים שנקבעו בחוק ולפירושם והתפתחותם בפסיקה, ראו: ע"א 398/80 </w:t>
      </w:r>
      <w:r w:rsidRPr="00E75D83">
        <w:rPr>
          <w:rFonts w:hint="eastAsia"/>
          <w:b/>
          <w:bCs/>
          <w:sz w:val="20"/>
          <w:rtl/>
        </w:rPr>
        <w:t>שחר</w:t>
      </w:r>
      <w:r w:rsidRPr="00E75D83">
        <w:rPr>
          <w:b/>
          <w:bCs/>
          <w:sz w:val="20"/>
          <w:rtl/>
        </w:rPr>
        <w:t xml:space="preserve"> </w:t>
      </w:r>
      <w:r w:rsidRPr="00E75D83">
        <w:rPr>
          <w:rFonts w:hint="eastAsia"/>
          <w:b/>
          <w:bCs/>
          <w:sz w:val="20"/>
          <w:rtl/>
        </w:rPr>
        <w:t>נ</w:t>
      </w:r>
      <w:r w:rsidRPr="00E75D83">
        <w:rPr>
          <w:b/>
          <w:bCs/>
          <w:sz w:val="20"/>
          <w:rtl/>
        </w:rPr>
        <w:t xml:space="preserve">' </w:t>
      </w:r>
      <w:r w:rsidRPr="00E75D83">
        <w:rPr>
          <w:rFonts w:hint="eastAsia"/>
          <w:b/>
          <w:bCs/>
          <w:sz w:val="20"/>
          <w:rtl/>
        </w:rPr>
        <w:t>שור</w:t>
      </w:r>
      <w:r w:rsidRPr="00E75D83">
        <w:rPr>
          <w:sz w:val="20"/>
          <w:rtl/>
        </w:rPr>
        <w:t xml:space="preserve">, פ"ד לו(2) 281, 287–288 (1982). </w:t>
      </w:r>
    </w:p>
  </w:footnote>
  <w:footnote w:id="86">
    <w:p w14:paraId="41426757" w14:textId="77777777" w:rsidR="00063AE7" w:rsidRPr="00B9272F" w:rsidRDefault="00063AE7">
      <w:pPr>
        <w:pStyle w:val="a4"/>
        <w:rPr>
          <w:sz w:val="20"/>
        </w:rPr>
      </w:pPr>
      <w:r w:rsidRPr="00B9272F">
        <w:rPr>
          <w:rStyle w:val="a3"/>
          <w:sz w:val="20"/>
        </w:rPr>
        <w:footnoteRef/>
      </w:r>
      <w:r w:rsidRPr="00B9272F">
        <w:rPr>
          <w:sz w:val="20"/>
          <w:rtl/>
        </w:rPr>
        <w:t xml:space="preserve"> </w:t>
      </w:r>
      <w:r w:rsidRPr="00B9272F">
        <w:rPr>
          <w:rFonts w:hint="eastAsia"/>
          <w:sz w:val="20"/>
          <w:rtl/>
        </w:rPr>
        <w:t>ויתכן</w:t>
      </w:r>
      <w:r w:rsidRPr="00B9272F">
        <w:rPr>
          <w:sz w:val="20"/>
          <w:rtl/>
        </w:rPr>
        <w:t xml:space="preserve"> </w:t>
      </w:r>
      <w:r w:rsidRPr="00B9272F">
        <w:rPr>
          <w:rFonts w:hint="eastAsia"/>
          <w:sz w:val="20"/>
          <w:rtl/>
        </w:rPr>
        <w:t>שתניה</w:t>
      </w:r>
      <w:r w:rsidRPr="00B9272F">
        <w:rPr>
          <w:sz w:val="20"/>
          <w:rtl/>
        </w:rPr>
        <w:t xml:space="preserve"> </w:t>
      </w:r>
      <w:r w:rsidRPr="00B9272F">
        <w:rPr>
          <w:rFonts w:hint="eastAsia"/>
          <w:sz w:val="20"/>
          <w:rtl/>
        </w:rPr>
        <w:t>כזו</w:t>
      </w:r>
      <w:r w:rsidRPr="00B9272F">
        <w:rPr>
          <w:sz w:val="20"/>
          <w:rtl/>
        </w:rPr>
        <w:t xml:space="preserve"> </w:t>
      </w:r>
      <w:r w:rsidRPr="00B9272F">
        <w:rPr>
          <w:rFonts w:hint="eastAsia"/>
          <w:sz w:val="20"/>
          <w:rtl/>
        </w:rPr>
        <w:t>עולה</w:t>
      </w:r>
      <w:r w:rsidRPr="00B9272F">
        <w:rPr>
          <w:sz w:val="20"/>
          <w:rtl/>
        </w:rPr>
        <w:t xml:space="preserve"> </w:t>
      </w:r>
      <w:r w:rsidRPr="00B9272F">
        <w:rPr>
          <w:rFonts w:hint="eastAsia"/>
          <w:sz w:val="20"/>
          <w:rtl/>
        </w:rPr>
        <w:t>כדי</w:t>
      </w:r>
      <w:r w:rsidRPr="00B9272F">
        <w:rPr>
          <w:sz w:val="20"/>
          <w:rtl/>
        </w:rPr>
        <w:t xml:space="preserve"> </w:t>
      </w:r>
      <w:r w:rsidRPr="00B9272F">
        <w:rPr>
          <w:rFonts w:hint="eastAsia"/>
          <w:sz w:val="20"/>
          <w:rtl/>
        </w:rPr>
        <w:t>תניה</w:t>
      </w:r>
      <w:r w:rsidRPr="00B9272F">
        <w:rPr>
          <w:sz w:val="20"/>
          <w:rtl/>
        </w:rPr>
        <w:t xml:space="preserve"> </w:t>
      </w:r>
      <w:r w:rsidRPr="00B9272F">
        <w:rPr>
          <w:rFonts w:hint="eastAsia"/>
          <w:sz w:val="20"/>
          <w:rtl/>
        </w:rPr>
        <w:t>בלתי</w:t>
      </w:r>
      <w:r w:rsidRPr="00B9272F">
        <w:rPr>
          <w:sz w:val="20"/>
          <w:rtl/>
        </w:rPr>
        <w:t xml:space="preserve"> </w:t>
      </w:r>
      <w:r w:rsidRPr="00B9272F">
        <w:rPr>
          <w:rFonts w:hint="eastAsia"/>
          <w:sz w:val="20"/>
          <w:rtl/>
        </w:rPr>
        <w:t>חוקית</w:t>
      </w:r>
      <w:r w:rsidRPr="00B9272F">
        <w:rPr>
          <w:sz w:val="20"/>
          <w:rtl/>
        </w:rPr>
        <w:t xml:space="preserve">, </w:t>
      </w:r>
      <w:r w:rsidRPr="00B9272F">
        <w:rPr>
          <w:rFonts w:hint="eastAsia"/>
          <w:sz w:val="20"/>
          <w:rtl/>
        </w:rPr>
        <w:t>שהרי</w:t>
      </w:r>
      <w:r w:rsidRPr="00B9272F">
        <w:rPr>
          <w:sz w:val="20"/>
          <w:rtl/>
        </w:rPr>
        <w:t xml:space="preserve"> </w:t>
      </w:r>
      <w:r w:rsidRPr="00B9272F">
        <w:rPr>
          <w:rFonts w:hint="eastAsia"/>
          <w:sz w:val="20"/>
          <w:rtl/>
        </w:rPr>
        <w:t>משמעותה</w:t>
      </w:r>
      <w:r w:rsidRPr="00B9272F">
        <w:rPr>
          <w:sz w:val="20"/>
          <w:rtl/>
        </w:rPr>
        <w:t xml:space="preserve"> </w:t>
      </w:r>
      <w:r w:rsidRPr="00B9272F">
        <w:rPr>
          <w:rFonts w:hint="eastAsia"/>
          <w:sz w:val="20"/>
          <w:rtl/>
        </w:rPr>
        <w:t>עלולה</w:t>
      </w:r>
      <w:r w:rsidRPr="00B9272F">
        <w:rPr>
          <w:sz w:val="20"/>
          <w:rtl/>
        </w:rPr>
        <w:t xml:space="preserve"> </w:t>
      </w:r>
      <w:r w:rsidRPr="00B9272F">
        <w:rPr>
          <w:rFonts w:hint="eastAsia"/>
          <w:sz w:val="20"/>
          <w:rtl/>
        </w:rPr>
        <w:t>להיות</w:t>
      </w:r>
      <w:r w:rsidRPr="00B9272F">
        <w:rPr>
          <w:sz w:val="20"/>
          <w:rtl/>
        </w:rPr>
        <w:t xml:space="preserve">, </w:t>
      </w:r>
      <w:r w:rsidRPr="00B9272F">
        <w:rPr>
          <w:rFonts w:hint="eastAsia"/>
          <w:sz w:val="20"/>
          <w:rtl/>
        </w:rPr>
        <w:t>הלכה</w:t>
      </w:r>
      <w:r w:rsidRPr="00B9272F">
        <w:rPr>
          <w:sz w:val="20"/>
          <w:rtl/>
        </w:rPr>
        <w:t xml:space="preserve"> </w:t>
      </w:r>
      <w:r w:rsidRPr="00B9272F">
        <w:rPr>
          <w:rFonts w:hint="eastAsia"/>
          <w:sz w:val="20"/>
          <w:rtl/>
        </w:rPr>
        <w:t>למעשה</w:t>
      </w:r>
      <w:r w:rsidRPr="00B9272F">
        <w:rPr>
          <w:sz w:val="20"/>
          <w:rtl/>
        </w:rPr>
        <w:t xml:space="preserve">, </w:t>
      </w:r>
      <w:r w:rsidRPr="00B9272F">
        <w:rPr>
          <w:rFonts w:hint="eastAsia"/>
          <w:sz w:val="20"/>
          <w:rtl/>
        </w:rPr>
        <w:t>שלילת</w:t>
      </w:r>
      <w:r w:rsidRPr="00B9272F">
        <w:rPr>
          <w:sz w:val="20"/>
          <w:rtl/>
        </w:rPr>
        <w:t xml:space="preserve"> </w:t>
      </w:r>
      <w:r w:rsidRPr="00B9272F">
        <w:rPr>
          <w:rFonts w:hint="eastAsia"/>
          <w:sz w:val="20"/>
          <w:rtl/>
        </w:rPr>
        <w:t>זכות</w:t>
      </w:r>
      <w:r w:rsidRPr="00B9272F">
        <w:rPr>
          <w:sz w:val="20"/>
          <w:rtl/>
        </w:rPr>
        <w:t xml:space="preserve"> </w:t>
      </w:r>
      <w:r w:rsidRPr="00B9272F">
        <w:rPr>
          <w:rFonts w:hint="eastAsia"/>
          <w:sz w:val="20"/>
          <w:rtl/>
        </w:rPr>
        <w:t>חוקית</w:t>
      </w:r>
      <w:r w:rsidRPr="00B9272F">
        <w:rPr>
          <w:sz w:val="20"/>
          <w:rtl/>
        </w:rPr>
        <w:t xml:space="preserve">. </w:t>
      </w:r>
    </w:p>
  </w:footnote>
  <w:footnote w:id="87">
    <w:p w14:paraId="2B835929" w14:textId="5ED59DD9" w:rsidR="00063AE7" w:rsidRPr="00E75D83" w:rsidRDefault="00063AE7" w:rsidP="00A51BF1">
      <w:pPr>
        <w:pStyle w:val="a4"/>
        <w:jc w:val="both"/>
        <w:rPr>
          <w:rFonts w:asciiTheme="majorBidi" w:hAnsiTheme="majorBidi" w:cstheme="majorBidi"/>
          <w:sz w:val="20"/>
        </w:rPr>
      </w:pPr>
      <w:r w:rsidRPr="00E75D83">
        <w:rPr>
          <w:rStyle w:val="a3"/>
          <w:sz w:val="20"/>
        </w:rPr>
        <w:footnoteRef/>
      </w:r>
      <w:r w:rsidRPr="00E75D83">
        <w:rPr>
          <w:sz w:val="20"/>
          <w:rtl/>
        </w:rPr>
        <w:t xml:space="preserve"> </w:t>
      </w:r>
      <w:r w:rsidRPr="00E75D83">
        <w:rPr>
          <w:sz w:val="20"/>
        </w:rPr>
        <w:t>(1949)</w:t>
      </w:r>
      <w:r w:rsidRPr="00E75D83">
        <w:rPr>
          <w:sz w:val="20"/>
          <w:rtl/>
        </w:rPr>
        <w:t xml:space="preserve"> </w:t>
      </w:r>
      <w:r w:rsidRPr="00E75D83">
        <w:rPr>
          <w:sz w:val="20"/>
        </w:rPr>
        <w:t xml:space="preserve">Alper v. </w:t>
      </w:r>
      <w:proofErr w:type="spellStart"/>
      <w:r w:rsidRPr="00E75D83">
        <w:rPr>
          <w:sz w:val="20"/>
        </w:rPr>
        <w:t>Alper</w:t>
      </w:r>
      <w:proofErr w:type="spellEnd"/>
      <w:r w:rsidRPr="00E75D83">
        <w:rPr>
          <w:sz w:val="20"/>
        </w:rPr>
        <w:t xml:space="preserve">, </w:t>
      </w:r>
      <w:r w:rsidRPr="00E75D83">
        <w:rPr>
          <w:sz w:val="20"/>
          <w:shd w:val="clear" w:color="auto" w:fill="FFFFFF"/>
        </w:rPr>
        <w:t>2 N.J. 105</w:t>
      </w:r>
      <w:r w:rsidR="001B0A02">
        <w:rPr>
          <w:sz w:val="20"/>
          <w:shd w:val="clear" w:color="auto" w:fill="FFFFFF"/>
        </w:rPr>
        <w:t>,</w:t>
      </w:r>
      <w:r w:rsidRPr="00E75D83">
        <w:rPr>
          <w:sz w:val="20"/>
          <w:shd w:val="clear" w:color="auto" w:fill="FFFFFF"/>
        </w:rPr>
        <w:t xml:space="preserve"> 65 A.2d 737</w:t>
      </w:r>
      <w:r w:rsidR="001B0A02">
        <w:rPr>
          <w:sz w:val="20"/>
          <w:shd w:val="clear" w:color="auto" w:fill="FFFFFF"/>
        </w:rPr>
        <w:t>,</w:t>
      </w:r>
      <w:r w:rsidRPr="00E75D83">
        <w:rPr>
          <w:sz w:val="20"/>
          <w:shd w:val="clear" w:color="auto" w:fill="FFFFFF"/>
        </w:rPr>
        <w:t xml:space="preserve"> 7 A.L.R.2d 1350</w:t>
      </w:r>
      <w:r w:rsidRPr="00E75D83">
        <w:rPr>
          <w:sz w:val="20"/>
          <w:rtl/>
        </w:rPr>
        <w:t xml:space="preserve">. </w:t>
      </w:r>
      <w:r w:rsidRPr="00E75D83">
        <w:rPr>
          <w:rFonts w:hint="eastAsia"/>
          <w:sz w:val="20"/>
          <w:rtl/>
        </w:rPr>
        <w:t>וכך</w:t>
      </w:r>
      <w:r w:rsidRPr="00E75D83">
        <w:rPr>
          <w:sz w:val="20"/>
          <w:rtl/>
        </w:rPr>
        <w:t xml:space="preserve"> קבעה </w:t>
      </w:r>
      <w:r w:rsidRPr="00E75D83">
        <w:rPr>
          <w:rFonts w:hint="eastAsia"/>
          <w:sz w:val="20"/>
          <w:rtl/>
        </w:rPr>
        <w:t>תניית</w:t>
      </w:r>
      <w:r w:rsidRPr="00E75D83">
        <w:rPr>
          <w:sz w:val="20"/>
          <w:rtl/>
        </w:rPr>
        <w:t xml:space="preserve"> הסילוקין שנקבעה במקרה זה: </w:t>
      </w:r>
      <w:r w:rsidRPr="00E75D83">
        <w:rPr>
          <w:rFonts w:asciiTheme="majorBidi" w:hAnsiTheme="majorBidi" w:cstheme="majorBidi"/>
          <w:color w:val="000000"/>
          <w:sz w:val="20"/>
          <w:shd w:val="clear" w:color="auto" w:fill="FFFFFF"/>
        </w:rPr>
        <w:t xml:space="preserve">"It is my will and command that should </w:t>
      </w:r>
      <w:r w:rsidRPr="00E75D83">
        <w:rPr>
          <w:rFonts w:asciiTheme="majorBidi" w:hAnsiTheme="majorBidi" w:cstheme="majorBidi"/>
          <w:i/>
          <w:iCs/>
          <w:color w:val="000000"/>
          <w:sz w:val="20"/>
          <w:shd w:val="clear" w:color="auto" w:fill="FFFFFF"/>
        </w:rPr>
        <w:t>any of my children or said grandchildren</w:t>
      </w:r>
      <w:r w:rsidRPr="00E75D83">
        <w:rPr>
          <w:rFonts w:asciiTheme="majorBidi" w:hAnsiTheme="majorBidi" w:cstheme="majorBidi"/>
          <w:color w:val="000000"/>
          <w:sz w:val="20"/>
          <w:shd w:val="clear" w:color="auto" w:fill="FFFFFF"/>
        </w:rPr>
        <w:t xml:space="preserve"> institute or maintain any proceeding in any court, for the purpose of attacking the validity of</w:t>
      </w:r>
      <w:r w:rsidRPr="00E75D83">
        <w:rPr>
          <w:rFonts w:asciiTheme="majorBidi" w:hAnsiTheme="majorBidi" w:cstheme="majorBidi"/>
          <w:color w:val="000000"/>
          <w:sz w:val="20"/>
          <w:bdr w:val="none" w:sz="0" w:space="0" w:color="auto" w:frame="1"/>
          <w:shd w:val="clear" w:color="auto" w:fill="FFFFFF"/>
        </w:rPr>
        <w:t xml:space="preserve"> </w:t>
      </w:r>
      <w:r w:rsidRPr="00E75D83">
        <w:rPr>
          <w:rFonts w:asciiTheme="majorBidi" w:hAnsiTheme="majorBidi" w:cstheme="majorBidi"/>
          <w:color w:val="000000"/>
          <w:sz w:val="20"/>
          <w:shd w:val="clear" w:color="auto" w:fill="FFFFFF"/>
        </w:rPr>
        <w:t xml:space="preserve">this Will, or for the purpose of effecting a disposition of my estate […], then it is my will and I do hereby order that the respective devises and bequests, […], be cancelled and deemed forfeited, […], </w:t>
      </w:r>
      <w:r w:rsidRPr="00E75D83">
        <w:rPr>
          <w:rFonts w:asciiTheme="majorBidi" w:hAnsiTheme="majorBidi" w:cstheme="majorBidi"/>
          <w:i/>
          <w:iCs/>
          <w:color w:val="000000"/>
          <w:sz w:val="20"/>
          <w:shd w:val="clear" w:color="auto" w:fill="FFFFFF"/>
        </w:rPr>
        <w:t>regardless of whether or not they have in any way participated in said contest</w:t>
      </w:r>
      <w:r w:rsidRPr="00E75D83">
        <w:rPr>
          <w:rFonts w:asciiTheme="majorBidi" w:hAnsiTheme="majorBidi" w:cstheme="majorBidi"/>
          <w:color w:val="000000"/>
          <w:sz w:val="20"/>
          <w:shd w:val="clear" w:color="auto" w:fill="FFFFFF"/>
        </w:rPr>
        <w:t xml:space="preserve">, and in such event, I devise and bequeath their respective shares to my said devoted and faithful child and executrix, Theresa </w:t>
      </w:r>
      <w:proofErr w:type="spellStart"/>
      <w:r w:rsidRPr="00E75D83">
        <w:rPr>
          <w:rFonts w:asciiTheme="majorBidi" w:hAnsiTheme="majorBidi" w:cstheme="majorBidi"/>
          <w:color w:val="000000"/>
          <w:sz w:val="20"/>
          <w:shd w:val="clear" w:color="auto" w:fill="FFFFFF"/>
        </w:rPr>
        <w:t>Alper</w:t>
      </w:r>
      <w:proofErr w:type="spellEnd"/>
      <w:r w:rsidRPr="00E75D83">
        <w:rPr>
          <w:rFonts w:asciiTheme="majorBidi" w:hAnsiTheme="majorBidi" w:cstheme="majorBidi"/>
          <w:color w:val="000000"/>
          <w:sz w:val="20"/>
          <w:shd w:val="clear" w:color="auto" w:fill="FFFFFF"/>
        </w:rPr>
        <w:t>,[…] "</w:t>
      </w:r>
      <w:r>
        <w:rPr>
          <w:rFonts w:asciiTheme="majorBidi" w:hAnsiTheme="majorBidi" w:cstheme="majorBidi" w:hint="cs"/>
          <w:sz w:val="20"/>
          <w:rtl/>
        </w:rPr>
        <w:t>.</w:t>
      </w:r>
    </w:p>
  </w:footnote>
  <w:footnote w:id="88">
    <w:p w14:paraId="69004A97" w14:textId="0C57BBBE" w:rsidR="00063AE7" w:rsidRPr="00E75D83" w:rsidRDefault="00063AE7" w:rsidP="00D52723">
      <w:pPr>
        <w:pStyle w:val="a4"/>
        <w:jc w:val="both"/>
        <w:rPr>
          <w:sz w:val="20"/>
        </w:rPr>
      </w:pPr>
      <w:r w:rsidRPr="00E75D83">
        <w:rPr>
          <w:rStyle w:val="a3"/>
          <w:rFonts w:asciiTheme="majorBidi" w:hAnsiTheme="majorBidi"/>
          <w:sz w:val="20"/>
        </w:rPr>
        <w:footnoteRef/>
      </w:r>
      <w:r w:rsidRPr="00E75D83">
        <w:rPr>
          <w:rFonts w:asciiTheme="majorBidi" w:hAnsiTheme="majorBidi"/>
          <w:sz w:val="20"/>
          <w:rtl/>
        </w:rPr>
        <w:t xml:space="preserve"> בפסק הדין נכתב כי ההדרה מהצוואה נבעה, ככל הנראה, מכך שהבת הייתה פרודה מבן</w:t>
      </w:r>
      <w:r>
        <w:rPr>
          <w:rFonts w:asciiTheme="majorBidi" w:hAnsiTheme="majorBidi" w:hint="cs"/>
          <w:sz w:val="20"/>
          <w:rtl/>
        </w:rPr>
        <w:t xml:space="preserve"> </w:t>
      </w:r>
      <w:r w:rsidRPr="00E75D83">
        <w:rPr>
          <w:rFonts w:asciiTheme="majorBidi" w:hAnsiTheme="majorBidi"/>
          <w:sz w:val="20"/>
          <w:rtl/>
        </w:rPr>
        <w:t>זוגה, והמצווה ביקש להגן על הרכוש מפני א</w:t>
      </w:r>
      <w:r w:rsidRPr="00E75D83">
        <w:rPr>
          <w:rFonts w:hint="eastAsia"/>
          <w:sz w:val="20"/>
          <w:rtl/>
        </w:rPr>
        <w:t>פשרות</w:t>
      </w:r>
      <w:r w:rsidRPr="00E75D83">
        <w:rPr>
          <w:sz w:val="20"/>
          <w:rtl/>
        </w:rPr>
        <w:t xml:space="preserve"> שבן הזוג ינסה לשים את ידו על חלק מכספי </w:t>
      </w:r>
      <w:r w:rsidRPr="00E75D83">
        <w:rPr>
          <w:rFonts w:hint="eastAsia"/>
          <w:sz w:val="20"/>
          <w:rtl/>
        </w:rPr>
        <w:t>הע</w:t>
      </w:r>
      <w:r>
        <w:rPr>
          <w:rFonts w:hint="cs"/>
          <w:sz w:val="20"/>
          <w:rtl/>
        </w:rPr>
        <w:t>י</w:t>
      </w:r>
      <w:r w:rsidRPr="00E75D83">
        <w:rPr>
          <w:rFonts w:hint="eastAsia"/>
          <w:sz w:val="20"/>
          <w:rtl/>
        </w:rPr>
        <w:t>זבון</w:t>
      </w:r>
      <w:r w:rsidRPr="00E75D83">
        <w:rPr>
          <w:sz w:val="20"/>
          <w:rtl/>
        </w:rPr>
        <w:t>.</w:t>
      </w:r>
    </w:p>
  </w:footnote>
  <w:footnote w:id="89">
    <w:p w14:paraId="4B3A74BF" w14:textId="71418BE0" w:rsidR="00063AE7" w:rsidRPr="002573F0" w:rsidRDefault="00063AE7" w:rsidP="003C0B63">
      <w:pPr>
        <w:pStyle w:val="a4"/>
        <w:jc w:val="both"/>
        <w:rPr>
          <w:sz w:val="20"/>
          <w:rtl/>
        </w:rPr>
      </w:pPr>
      <w:r w:rsidRPr="00E75D83">
        <w:rPr>
          <w:rStyle w:val="a3"/>
          <w:sz w:val="20"/>
        </w:rPr>
        <w:footnoteRef/>
      </w:r>
      <w:r w:rsidRPr="00E75D83">
        <w:rPr>
          <w:sz w:val="20"/>
          <w:rtl/>
        </w:rPr>
        <w:t xml:space="preserve"> </w:t>
      </w:r>
      <w:r w:rsidRPr="00E75D83">
        <w:rPr>
          <w:rFonts w:hint="eastAsia"/>
          <w:sz w:val="20"/>
          <w:rtl/>
        </w:rPr>
        <w:t>יש</w:t>
      </w:r>
      <w:r w:rsidRPr="00E75D83">
        <w:rPr>
          <w:sz w:val="20"/>
          <w:rtl/>
        </w:rPr>
        <w:t xml:space="preserve"> לציין כי במקרה זה הפעלת </w:t>
      </w:r>
      <w:r w:rsidRPr="00E75D83">
        <w:rPr>
          <w:rFonts w:hint="eastAsia"/>
          <w:sz w:val="20"/>
          <w:rtl/>
        </w:rPr>
        <w:t>התנייה</w:t>
      </w:r>
      <w:r w:rsidRPr="00E75D83">
        <w:rPr>
          <w:sz w:val="20"/>
          <w:rtl/>
        </w:rPr>
        <w:t xml:space="preserve"> הובילה אף לסילוקו של קטין אשר כלל אינו בעל כשרות משפטית</w:t>
      </w:r>
      <w:r>
        <w:rPr>
          <w:rFonts w:hint="cs"/>
          <w:sz w:val="20"/>
          <w:rtl/>
        </w:rPr>
        <w:t>.</w:t>
      </w:r>
      <w:r w:rsidRPr="00E75D83">
        <w:rPr>
          <w:sz w:val="20"/>
          <w:rtl/>
        </w:rPr>
        <w:t xml:space="preserve"> לגישות שונות הנהוגות בארצות-הברית באשר להחלת תניות סילוקין על קטינים ראו: </w:t>
      </w:r>
      <w:r w:rsidRPr="00E75D83">
        <w:rPr>
          <w:sz w:val="20"/>
        </w:rPr>
        <w:t>Peter G. Billings, </w:t>
      </w:r>
      <w:r w:rsidRPr="00E75D83">
        <w:rPr>
          <w:i/>
          <w:iCs/>
          <w:sz w:val="20"/>
        </w:rPr>
        <w:t>Infants and In Terrorem Clause</w:t>
      </w:r>
      <w:bookmarkStart w:id="18" w:name="_GoBack"/>
      <w:bookmarkEnd w:id="18"/>
      <w:r w:rsidRPr="00E75D83">
        <w:rPr>
          <w:i/>
          <w:iCs/>
          <w:sz w:val="20"/>
        </w:rPr>
        <w:t>s</w:t>
      </w:r>
      <w:r w:rsidRPr="00E75D83">
        <w:rPr>
          <w:sz w:val="20"/>
        </w:rPr>
        <w:t>, 22 Quinn. Prob. Law Jour. 397 (2009)</w:t>
      </w:r>
      <w:r w:rsidRPr="00E75D83">
        <w:rPr>
          <w:sz w:val="20"/>
          <w:rtl/>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E2C35"/>
    <w:multiLevelType w:val="hybridMultilevel"/>
    <w:tmpl w:val="1DDABDD4"/>
    <w:lvl w:ilvl="0" w:tplc="EFCE79CE">
      <w:start w:val="1"/>
      <w:numFmt w:val="hebrew1"/>
      <w:lvlText w:val="%1."/>
      <w:lvlJc w:val="left"/>
      <w:pPr>
        <w:ind w:left="720" w:hanging="360"/>
      </w:pPr>
      <w:rPr>
        <w:rFonts w:hint="default"/>
      </w:rPr>
    </w:lvl>
    <w:lvl w:ilvl="1" w:tplc="3A4CCF82" w:tentative="1">
      <w:start w:val="1"/>
      <w:numFmt w:val="lowerLetter"/>
      <w:lvlText w:val="%2."/>
      <w:lvlJc w:val="left"/>
      <w:pPr>
        <w:ind w:left="1440" w:hanging="360"/>
      </w:pPr>
    </w:lvl>
    <w:lvl w:ilvl="2" w:tplc="4F76D6AA" w:tentative="1">
      <w:start w:val="1"/>
      <w:numFmt w:val="lowerRoman"/>
      <w:lvlText w:val="%3."/>
      <w:lvlJc w:val="right"/>
      <w:pPr>
        <w:ind w:left="2160" w:hanging="180"/>
      </w:pPr>
    </w:lvl>
    <w:lvl w:ilvl="3" w:tplc="B144F5B4" w:tentative="1">
      <w:start w:val="1"/>
      <w:numFmt w:val="decimal"/>
      <w:lvlText w:val="%4."/>
      <w:lvlJc w:val="left"/>
      <w:pPr>
        <w:ind w:left="2880" w:hanging="360"/>
      </w:pPr>
    </w:lvl>
    <w:lvl w:ilvl="4" w:tplc="8FDA3022" w:tentative="1">
      <w:start w:val="1"/>
      <w:numFmt w:val="lowerLetter"/>
      <w:lvlText w:val="%5."/>
      <w:lvlJc w:val="left"/>
      <w:pPr>
        <w:ind w:left="3600" w:hanging="360"/>
      </w:pPr>
    </w:lvl>
    <w:lvl w:ilvl="5" w:tplc="187EF72E" w:tentative="1">
      <w:start w:val="1"/>
      <w:numFmt w:val="lowerRoman"/>
      <w:lvlText w:val="%6."/>
      <w:lvlJc w:val="right"/>
      <w:pPr>
        <w:ind w:left="4320" w:hanging="180"/>
      </w:pPr>
    </w:lvl>
    <w:lvl w:ilvl="6" w:tplc="364A2176" w:tentative="1">
      <w:start w:val="1"/>
      <w:numFmt w:val="decimal"/>
      <w:lvlText w:val="%7."/>
      <w:lvlJc w:val="left"/>
      <w:pPr>
        <w:ind w:left="5040" w:hanging="360"/>
      </w:pPr>
    </w:lvl>
    <w:lvl w:ilvl="7" w:tplc="04327342" w:tentative="1">
      <w:start w:val="1"/>
      <w:numFmt w:val="lowerLetter"/>
      <w:lvlText w:val="%8."/>
      <w:lvlJc w:val="left"/>
      <w:pPr>
        <w:ind w:left="5760" w:hanging="360"/>
      </w:pPr>
    </w:lvl>
    <w:lvl w:ilvl="8" w:tplc="04C8B472" w:tentative="1">
      <w:start w:val="1"/>
      <w:numFmt w:val="lowerRoman"/>
      <w:lvlText w:val="%9."/>
      <w:lvlJc w:val="right"/>
      <w:pPr>
        <w:ind w:left="6480" w:hanging="180"/>
      </w:pPr>
    </w:lvl>
  </w:abstractNum>
  <w:abstractNum w:abstractNumId="1" w15:restartNumberingAfterBreak="0">
    <w:nsid w:val="0ADE27EE"/>
    <w:multiLevelType w:val="hybridMultilevel"/>
    <w:tmpl w:val="430ED074"/>
    <w:lvl w:ilvl="0" w:tplc="F63AA1A0">
      <w:start w:val="1"/>
      <w:numFmt w:val="hebrew1"/>
      <w:lvlText w:val="%1."/>
      <w:lvlJc w:val="left"/>
      <w:pPr>
        <w:ind w:left="757" w:hanging="360"/>
      </w:pPr>
      <w:rPr>
        <w:rFonts w:hint="default"/>
      </w:rPr>
    </w:lvl>
    <w:lvl w:ilvl="1" w:tplc="17DA656A" w:tentative="1">
      <w:start w:val="1"/>
      <w:numFmt w:val="lowerLetter"/>
      <w:lvlText w:val="%2."/>
      <w:lvlJc w:val="left"/>
      <w:pPr>
        <w:ind w:left="1477" w:hanging="360"/>
      </w:pPr>
    </w:lvl>
    <w:lvl w:ilvl="2" w:tplc="F416A248" w:tentative="1">
      <w:start w:val="1"/>
      <w:numFmt w:val="lowerRoman"/>
      <w:lvlText w:val="%3."/>
      <w:lvlJc w:val="right"/>
      <w:pPr>
        <w:ind w:left="2197" w:hanging="180"/>
      </w:pPr>
    </w:lvl>
    <w:lvl w:ilvl="3" w:tplc="53AA2A28" w:tentative="1">
      <w:start w:val="1"/>
      <w:numFmt w:val="decimal"/>
      <w:lvlText w:val="%4."/>
      <w:lvlJc w:val="left"/>
      <w:pPr>
        <w:ind w:left="2917" w:hanging="360"/>
      </w:pPr>
    </w:lvl>
    <w:lvl w:ilvl="4" w:tplc="8B7C805C" w:tentative="1">
      <w:start w:val="1"/>
      <w:numFmt w:val="lowerLetter"/>
      <w:lvlText w:val="%5."/>
      <w:lvlJc w:val="left"/>
      <w:pPr>
        <w:ind w:left="3637" w:hanging="360"/>
      </w:pPr>
    </w:lvl>
    <w:lvl w:ilvl="5" w:tplc="C94E4366" w:tentative="1">
      <w:start w:val="1"/>
      <w:numFmt w:val="lowerRoman"/>
      <w:lvlText w:val="%6."/>
      <w:lvlJc w:val="right"/>
      <w:pPr>
        <w:ind w:left="4357" w:hanging="180"/>
      </w:pPr>
    </w:lvl>
    <w:lvl w:ilvl="6" w:tplc="EFCC1C12" w:tentative="1">
      <w:start w:val="1"/>
      <w:numFmt w:val="decimal"/>
      <w:lvlText w:val="%7."/>
      <w:lvlJc w:val="left"/>
      <w:pPr>
        <w:ind w:left="5077" w:hanging="360"/>
      </w:pPr>
    </w:lvl>
    <w:lvl w:ilvl="7" w:tplc="4DFAFCB4" w:tentative="1">
      <w:start w:val="1"/>
      <w:numFmt w:val="lowerLetter"/>
      <w:lvlText w:val="%8."/>
      <w:lvlJc w:val="left"/>
      <w:pPr>
        <w:ind w:left="5797" w:hanging="360"/>
      </w:pPr>
    </w:lvl>
    <w:lvl w:ilvl="8" w:tplc="0E6CA2F0" w:tentative="1">
      <w:start w:val="1"/>
      <w:numFmt w:val="lowerRoman"/>
      <w:lvlText w:val="%9."/>
      <w:lvlJc w:val="right"/>
      <w:pPr>
        <w:ind w:left="6517" w:hanging="180"/>
      </w:pPr>
    </w:lvl>
  </w:abstractNum>
  <w:abstractNum w:abstractNumId="2" w15:restartNumberingAfterBreak="0">
    <w:nsid w:val="148850C6"/>
    <w:multiLevelType w:val="hybridMultilevel"/>
    <w:tmpl w:val="26AA9DB4"/>
    <w:lvl w:ilvl="0" w:tplc="F9108812">
      <w:start w:val="1"/>
      <w:numFmt w:val="decimal"/>
      <w:lvlText w:val="%1)"/>
      <w:lvlJc w:val="left"/>
      <w:pPr>
        <w:ind w:left="927" w:hanging="360"/>
      </w:pPr>
    </w:lvl>
    <w:lvl w:ilvl="1" w:tplc="81C60256" w:tentative="1">
      <w:start w:val="1"/>
      <w:numFmt w:val="lowerLetter"/>
      <w:lvlText w:val="%2."/>
      <w:lvlJc w:val="left"/>
      <w:pPr>
        <w:ind w:left="1647" w:hanging="360"/>
      </w:pPr>
    </w:lvl>
    <w:lvl w:ilvl="2" w:tplc="D8444C4E" w:tentative="1">
      <w:start w:val="1"/>
      <w:numFmt w:val="lowerRoman"/>
      <w:lvlText w:val="%3."/>
      <w:lvlJc w:val="right"/>
      <w:pPr>
        <w:ind w:left="2367" w:hanging="180"/>
      </w:pPr>
    </w:lvl>
    <w:lvl w:ilvl="3" w:tplc="E40E72B6" w:tentative="1">
      <w:start w:val="1"/>
      <w:numFmt w:val="decimal"/>
      <w:lvlText w:val="%4."/>
      <w:lvlJc w:val="left"/>
      <w:pPr>
        <w:ind w:left="3087" w:hanging="360"/>
      </w:pPr>
    </w:lvl>
    <w:lvl w:ilvl="4" w:tplc="0D8872DA" w:tentative="1">
      <w:start w:val="1"/>
      <w:numFmt w:val="lowerLetter"/>
      <w:lvlText w:val="%5."/>
      <w:lvlJc w:val="left"/>
      <w:pPr>
        <w:ind w:left="3807" w:hanging="360"/>
      </w:pPr>
    </w:lvl>
    <w:lvl w:ilvl="5" w:tplc="A21EF370" w:tentative="1">
      <w:start w:val="1"/>
      <w:numFmt w:val="lowerRoman"/>
      <w:lvlText w:val="%6."/>
      <w:lvlJc w:val="right"/>
      <w:pPr>
        <w:ind w:left="4527" w:hanging="180"/>
      </w:pPr>
    </w:lvl>
    <w:lvl w:ilvl="6" w:tplc="C1DEFB8A" w:tentative="1">
      <w:start w:val="1"/>
      <w:numFmt w:val="decimal"/>
      <w:lvlText w:val="%7."/>
      <w:lvlJc w:val="left"/>
      <w:pPr>
        <w:ind w:left="5247" w:hanging="360"/>
      </w:pPr>
    </w:lvl>
    <w:lvl w:ilvl="7" w:tplc="687017F4" w:tentative="1">
      <w:start w:val="1"/>
      <w:numFmt w:val="lowerLetter"/>
      <w:lvlText w:val="%8."/>
      <w:lvlJc w:val="left"/>
      <w:pPr>
        <w:ind w:left="5967" w:hanging="360"/>
      </w:pPr>
    </w:lvl>
    <w:lvl w:ilvl="8" w:tplc="31AC0DCC" w:tentative="1">
      <w:start w:val="1"/>
      <w:numFmt w:val="lowerRoman"/>
      <w:lvlText w:val="%9."/>
      <w:lvlJc w:val="right"/>
      <w:pPr>
        <w:ind w:left="6687" w:hanging="180"/>
      </w:pPr>
    </w:lvl>
  </w:abstractNum>
  <w:abstractNum w:abstractNumId="3" w15:restartNumberingAfterBreak="0">
    <w:nsid w:val="18EF4BAA"/>
    <w:multiLevelType w:val="hybridMultilevel"/>
    <w:tmpl w:val="430ED074"/>
    <w:lvl w:ilvl="0" w:tplc="60E483D0">
      <w:start w:val="1"/>
      <w:numFmt w:val="hebrew1"/>
      <w:lvlText w:val="%1."/>
      <w:lvlJc w:val="left"/>
      <w:pPr>
        <w:ind w:left="757" w:hanging="360"/>
      </w:pPr>
      <w:rPr>
        <w:rFonts w:hint="default"/>
      </w:rPr>
    </w:lvl>
    <w:lvl w:ilvl="1" w:tplc="26F27430" w:tentative="1">
      <w:start w:val="1"/>
      <w:numFmt w:val="lowerLetter"/>
      <w:lvlText w:val="%2."/>
      <w:lvlJc w:val="left"/>
      <w:pPr>
        <w:ind w:left="1477" w:hanging="360"/>
      </w:pPr>
    </w:lvl>
    <w:lvl w:ilvl="2" w:tplc="C11282C4" w:tentative="1">
      <w:start w:val="1"/>
      <w:numFmt w:val="lowerRoman"/>
      <w:lvlText w:val="%3."/>
      <w:lvlJc w:val="right"/>
      <w:pPr>
        <w:ind w:left="2197" w:hanging="180"/>
      </w:pPr>
    </w:lvl>
    <w:lvl w:ilvl="3" w:tplc="14985582" w:tentative="1">
      <w:start w:val="1"/>
      <w:numFmt w:val="decimal"/>
      <w:lvlText w:val="%4."/>
      <w:lvlJc w:val="left"/>
      <w:pPr>
        <w:ind w:left="2917" w:hanging="360"/>
      </w:pPr>
    </w:lvl>
    <w:lvl w:ilvl="4" w:tplc="C696E8A4" w:tentative="1">
      <w:start w:val="1"/>
      <w:numFmt w:val="lowerLetter"/>
      <w:lvlText w:val="%5."/>
      <w:lvlJc w:val="left"/>
      <w:pPr>
        <w:ind w:left="3637" w:hanging="360"/>
      </w:pPr>
    </w:lvl>
    <w:lvl w:ilvl="5" w:tplc="A29E39AE" w:tentative="1">
      <w:start w:val="1"/>
      <w:numFmt w:val="lowerRoman"/>
      <w:lvlText w:val="%6."/>
      <w:lvlJc w:val="right"/>
      <w:pPr>
        <w:ind w:left="4357" w:hanging="180"/>
      </w:pPr>
    </w:lvl>
    <w:lvl w:ilvl="6" w:tplc="4D44B758" w:tentative="1">
      <w:start w:val="1"/>
      <w:numFmt w:val="decimal"/>
      <w:lvlText w:val="%7."/>
      <w:lvlJc w:val="left"/>
      <w:pPr>
        <w:ind w:left="5077" w:hanging="360"/>
      </w:pPr>
    </w:lvl>
    <w:lvl w:ilvl="7" w:tplc="49641672" w:tentative="1">
      <w:start w:val="1"/>
      <w:numFmt w:val="lowerLetter"/>
      <w:lvlText w:val="%8."/>
      <w:lvlJc w:val="left"/>
      <w:pPr>
        <w:ind w:left="5797" w:hanging="360"/>
      </w:pPr>
    </w:lvl>
    <w:lvl w:ilvl="8" w:tplc="7A385C9C" w:tentative="1">
      <w:start w:val="1"/>
      <w:numFmt w:val="lowerRoman"/>
      <w:lvlText w:val="%9."/>
      <w:lvlJc w:val="right"/>
      <w:pPr>
        <w:ind w:left="6517" w:hanging="180"/>
      </w:pPr>
    </w:lvl>
  </w:abstractNum>
  <w:abstractNum w:abstractNumId="4" w15:restartNumberingAfterBreak="0">
    <w:nsid w:val="1BE725F8"/>
    <w:multiLevelType w:val="hybridMultilevel"/>
    <w:tmpl w:val="71BCB1D4"/>
    <w:lvl w:ilvl="0" w:tplc="DF3EF400">
      <w:start w:val="1"/>
      <w:numFmt w:val="decimal"/>
      <w:lvlText w:val="(%1)"/>
      <w:lvlJc w:val="left"/>
      <w:pPr>
        <w:ind w:left="1185" w:hanging="465"/>
      </w:pPr>
      <w:rPr>
        <w:rFonts w:hint="default"/>
      </w:rPr>
    </w:lvl>
    <w:lvl w:ilvl="1" w:tplc="4140835E" w:tentative="1">
      <w:start w:val="1"/>
      <w:numFmt w:val="lowerLetter"/>
      <w:lvlText w:val="%2."/>
      <w:lvlJc w:val="left"/>
      <w:pPr>
        <w:ind w:left="1800" w:hanging="360"/>
      </w:pPr>
    </w:lvl>
    <w:lvl w:ilvl="2" w:tplc="2EC000AC" w:tentative="1">
      <w:start w:val="1"/>
      <w:numFmt w:val="lowerRoman"/>
      <w:lvlText w:val="%3."/>
      <w:lvlJc w:val="right"/>
      <w:pPr>
        <w:ind w:left="2520" w:hanging="180"/>
      </w:pPr>
    </w:lvl>
    <w:lvl w:ilvl="3" w:tplc="0BA03F2A" w:tentative="1">
      <w:start w:val="1"/>
      <w:numFmt w:val="decimal"/>
      <w:lvlText w:val="%4."/>
      <w:lvlJc w:val="left"/>
      <w:pPr>
        <w:ind w:left="3240" w:hanging="360"/>
      </w:pPr>
    </w:lvl>
    <w:lvl w:ilvl="4" w:tplc="A4AAB27A" w:tentative="1">
      <w:start w:val="1"/>
      <w:numFmt w:val="lowerLetter"/>
      <w:lvlText w:val="%5."/>
      <w:lvlJc w:val="left"/>
      <w:pPr>
        <w:ind w:left="3960" w:hanging="360"/>
      </w:pPr>
    </w:lvl>
    <w:lvl w:ilvl="5" w:tplc="6540A9A0" w:tentative="1">
      <w:start w:val="1"/>
      <w:numFmt w:val="lowerRoman"/>
      <w:lvlText w:val="%6."/>
      <w:lvlJc w:val="right"/>
      <w:pPr>
        <w:ind w:left="4680" w:hanging="180"/>
      </w:pPr>
    </w:lvl>
    <w:lvl w:ilvl="6" w:tplc="EE9451E8" w:tentative="1">
      <w:start w:val="1"/>
      <w:numFmt w:val="decimal"/>
      <w:lvlText w:val="%7."/>
      <w:lvlJc w:val="left"/>
      <w:pPr>
        <w:ind w:left="5400" w:hanging="360"/>
      </w:pPr>
    </w:lvl>
    <w:lvl w:ilvl="7" w:tplc="93CEB150" w:tentative="1">
      <w:start w:val="1"/>
      <w:numFmt w:val="lowerLetter"/>
      <w:lvlText w:val="%8."/>
      <w:lvlJc w:val="left"/>
      <w:pPr>
        <w:ind w:left="6120" w:hanging="360"/>
      </w:pPr>
    </w:lvl>
    <w:lvl w:ilvl="8" w:tplc="C56A0422" w:tentative="1">
      <w:start w:val="1"/>
      <w:numFmt w:val="lowerRoman"/>
      <w:lvlText w:val="%9."/>
      <w:lvlJc w:val="right"/>
      <w:pPr>
        <w:ind w:left="6840" w:hanging="180"/>
      </w:pPr>
    </w:lvl>
  </w:abstractNum>
  <w:abstractNum w:abstractNumId="5" w15:restartNumberingAfterBreak="0">
    <w:nsid w:val="21283B4E"/>
    <w:multiLevelType w:val="hybridMultilevel"/>
    <w:tmpl w:val="4E14DCCC"/>
    <w:lvl w:ilvl="0" w:tplc="1BCA9294">
      <w:start w:val="1"/>
      <w:numFmt w:val="decimal"/>
      <w:lvlText w:val="(%1)"/>
      <w:lvlJc w:val="left"/>
      <w:pPr>
        <w:ind w:left="720" w:hanging="360"/>
      </w:pPr>
      <w:rPr>
        <w:rFonts w:hint="default"/>
      </w:rPr>
    </w:lvl>
    <w:lvl w:ilvl="1" w:tplc="CC88F684" w:tentative="1">
      <w:start w:val="1"/>
      <w:numFmt w:val="lowerLetter"/>
      <w:lvlText w:val="%2."/>
      <w:lvlJc w:val="left"/>
      <w:pPr>
        <w:ind w:left="1440" w:hanging="360"/>
      </w:pPr>
    </w:lvl>
    <w:lvl w:ilvl="2" w:tplc="B9A8F996" w:tentative="1">
      <w:start w:val="1"/>
      <w:numFmt w:val="lowerRoman"/>
      <w:lvlText w:val="%3."/>
      <w:lvlJc w:val="right"/>
      <w:pPr>
        <w:ind w:left="2160" w:hanging="180"/>
      </w:pPr>
    </w:lvl>
    <w:lvl w:ilvl="3" w:tplc="73EA5D8A" w:tentative="1">
      <w:start w:val="1"/>
      <w:numFmt w:val="decimal"/>
      <w:lvlText w:val="%4."/>
      <w:lvlJc w:val="left"/>
      <w:pPr>
        <w:ind w:left="2880" w:hanging="360"/>
      </w:pPr>
    </w:lvl>
    <w:lvl w:ilvl="4" w:tplc="DB1A14EC" w:tentative="1">
      <w:start w:val="1"/>
      <w:numFmt w:val="lowerLetter"/>
      <w:lvlText w:val="%5."/>
      <w:lvlJc w:val="left"/>
      <w:pPr>
        <w:ind w:left="3600" w:hanging="360"/>
      </w:pPr>
    </w:lvl>
    <w:lvl w:ilvl="5" w:tplc="0038B1A4" w:tentative="1">
      <w:start w:val="1"/>
      <w:numFmt w:val="lowerRoman"/>
      <w:lvlText w:val="%6."/>
      <w:lvlJc w:val="right"/>
      <w:pPr>
        <w:ind w:left="4320" w:hanging="180"/>
      </w:pPr>
    </w:lvl>
    <w:lvl w:ilvl="6" w:tplc="96E2E868" w:tentative="1">
      <w:start w:val="1"/>
      <w:numFmt w:val="decimal"/>
      <w:lvlText w:val="%7."/>
      <w:lvlJc w:val="left"/>
      <w:pPr>
        <w:ind w:left="5040" w:hanging="360"/>
      </w:pPr>
    </w:lvl>
    <w:lvl w:ilvl="7" w:tplc="6BDAF05C" w:tentative="1">
      <w:start w:val="1"/>
      <w:numFmt w:val="lowerLetter"/>
      <w:lvlText w:val="%8."/>
      <w:lvlJc w:val="left"/>
      <w:pPr>
        <w:ind w:left="5760" w:hanging="360"/>
      </w:pPr>
    </w:lvl>
    <w:lvl w:ilvl="8" w:tplc="A852C6F6" w:tentative="1">
      <w:start w:val="1"/>
      <w:numFmt w:val="lowerRoman"/>
      <w:lvlText w:val="%9."/>
      <w:lvlJc w:val="right"/>
      <w:pPr>
        <w:ind w:left="6480" w:hanging="180"/>
      </w:pPr>
    </w:lvl>
  </w:abstractNum>
  <w:abstractNum w:abstractNumId="6" w15:restartNumberingAfterBreak="0">
    <w:nsid w:val="2D8C0A63"/>
    <w:multiLevelType w:val="hybridMultilevel"/>
    <w:tmpl w:val="5BB25048"/>
    <w:lvl w:ilvl="0" w:tplc="1C9CF8FA">
      <w:start w:val="1"/>
      <w:numFmt w:val="hebrew1"/>
      <w:lvlText w:val="%1."/>
      <w:lvlJc w:val="left"/>
      <w:pPr>
        <w:ind w:left="720" w:hanging="360"/>
      </w:pPr>
      <w:rPr>
        <w:rFonts w:hint="default"/>
      </w:rPr>
    </w:lvl>
    <w:lvl w:ilvl="1" w:tplc="4CF26A34" w:tentative="1">
      <w:start w:val="1"/>
      <w:numFmt w:val="lowerLetter"/>
      <w:lvlText w:val="%2."/>
      <w:lvlJc w:val="left"/>
      <w:pPr>
        <w:ind w:left="1440" w:hanging="360"/>
      </w:pPr>
    </w:lvl>
    <w:lvl w:ilvl="2" w:tplc="AC6C494E" w:tentative="1">
      <w:start w:val="1"/>
      <w:numFmt w:val="lowerRoman"/>
      <w:lvlText w:val="%3."/>
      <w:lvlJc w:val="right"/>
      <w:pPr>
        <w:ind w:left="2160" w:hanging="180"/>
      </w:pPr>
    </w:lvl>
    <w:lvl w:ilvl="3" w:tplc="B3FEA846" w:tentative="1">
      <w:start w:val="1"/>
      <w:numFmt w:val="decimal"/>
      <w:lvlText w:val="%4."/>
      <w:lvlJc w:val="left"/>
      <w:pPr>
        <w:ind w:left="2880" w:hanging="360"/>
      </w:pPr>
    </w:lvl>
    <w:lvl w:ilvl="4" w:tplc="3828A7C6" w:tentative="1">
      <w:start w:val="1"/>
      <w:numFmt w:val="lowerLetter"/>
      <w:lvlText w:val="%5."/>
      <w:lvlJc w:val="left"/>
      <w:pPr>
        <w:ind w:left="3600" w:hanging="360"/>
      </w:pPr>
    </w:lvl>
    <w:lvl w:ilvl="5" w:tplc="DD94F536" w:tentative="1">
      <w:start w:val="1"/>
      <w:numFmt w:val="lowerRoman"/>
      <w:lvlText w:val="%6."/>
      <w:lvlJc w:val="right"/>
      <w:pPr>
        <w:ind w:left="4320" w:hanging="180"/>
      </w:pPr>
    </w:lvl>
    <w:lvl w:ilvl="6" w:tplc="DC880668" w:tentative="1">
      <w:start w:val="1"/>
      <w:numFmt w:val="decimal"/>
      <w:lvlText w:val="%7."/>
      <w:lvlJc w:val="left"/>
      <w:pPr>
        <w:ind w:left="5040" w:hanging="360"/>
      </w:pPr>
    </w:lvl>
    <w:lvl w:ilvl="7" w:tplc="3F0AE5E4" w:tentative="1">
      <w:start w:val="1"/>
      <w:numFmt w:val="lowerLetter"/>
      <w:lvlText w:val="%8."/>
      <w:lvlJc w:val="left"/>
      <w:pPr>
        <w:ind w:left="5760" w:hanging="360"/>
      </w:pPr>
    </w:lvl>
    <w:lvl w:ilvl="8" w:tplc="212032A4" w:tentative="1">
      <w:start w:val="1"/>
      <w:numFmt w:val="lowerRoman"/>
      <w:lvlText w:val="%9."/>
      <w:lvlJc w:val="right"/>
      <w:pPr>
        <w:ind w:left="6480" w:hanging="180"/>
      </w:pPr>
    </w:lvl>
  </w:abstractNum>
  <w:abstractNum w:abstractNumId="7" w15:restartNumberingAfterBreak="0">
    <w:nsid w:val="30601DF3"/>
    <w:multiLevelType w:val="multilevel"/>
    <w:tmpl w:val="4662899A"/>
    <w:lvl w:ilvl="0">
      <w:start w:val="4"/>
      <w:numFmt w:val="decimal"/>
      <w:lvlText w:val="%1."/>
      <w:lvlJc w:val="left"/>
      <w:pPr>
        <w:ind w:left="360" w:hanging="360"/>
      </w:pPr>
      <w:rPr>
        <w:rFonts w:hint="default"/>
        <w:u w:val="none"/>
      </w:rPr>
    </w:lvl>
    <w:lvl w:ilvl="1">
      <w:start w:val="1"/>
      <w:numFmt w:val="decimal"/>
      <w:lvlText w:val="%1.%2."/>
      <w:lvlJc w:val="left"/>
      <w:pPr>
        <w:ind w:left="360" w:hanging="360"/>
      </w:pPr>
      <w:rPr>
        <w:rFonts w:hint="default"/>
        <w:b w:val="0"/>
        <w:bCs w:val="0"/>
        <w:u w:val="none"/>
      </w:rPr>
    </w:lvl>
    <w:lvl w:ilvl="2">
      <w:start w:val="1"/>
      <w:numFmt w:val="decimal"/>
      <w:lvlText w:val="%1.%2.%3."/>
      <w:lvlJc w:val="left"/>
      <w:pPr>
        <w:ind w:left="720" w:hanging="720"/>
      </w:pPr>
      <w:rPr>
        <w:rFonts w:hint="default"/>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440" w:hanging="144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800" w:hanging="1800"/>
      </w:pPr>
      <w:rPr>
        <w:rFonts w:hint="default"/>
        <w:u w:val="none"/>
      </w:rPr>
    </w:lvl>
  </w:abstractNum>
  <w:abstractNum w:abstractNumId="8" w15:restartNumberingAfterBreak="0">
    <w:nsid w:val="37457E45"/>
    <w:multiLevelType w:val="hybridMultilevel"/>
    <w:tmpl w:val="105CF7C4"/>
    <w:lvl w:ilvl="0" w:tplc="FBBC1DAE">
      <w:start w:val="1"/>
      <w:numFmt w:val="decimal"/>
      <w:lvlText w:val="(%1)"/>
      <w:lvlJc w:val="left"/>
      <w:pPr>
        <w:ind w:left="720" w:hanging="360"/>
      </w:pPr>
      <w:rPr>
        <w:rFonts w:cs="David" w:hint="default"/>
      </w:rPr>
    </w:lvl>
    <w:lvl w:ilvl="1" w:tplc="F3A6B4F4" w:tentative="1">
      <w:start w:val="1"/>
      <w:numFmt w:val="lowerLetter"/>
      <w:lvlText w:val="%2."/>
      <w:lvlJc w:val="left"/>
      <w:pPr>
        <w:ind w:left="1440" w:hanging="360"/>
      </w:pPr>
    </w:lvl>
    <w:lvl w:ilvl="2" w:tplc="A34ABF3E" w:tentative="1">
      <w:start w:val="1"/>
      <w:numFmt w:val="lowerRoman"/>
      <w:lvlText w:val="%3."/>
      <w:lvlJc w:val="right"/>
      <w:pPr>
        <w:ind w:left="2160" w:hanging="180"/>
      </w:pPr>
    </w:lvl>
    <w:lvl w:ilvl="3" w:tplc="63E4B24A" w:tentative="1">
      <w:start w:val="1"/>
      <w:numFmt w:val="decimal"/>
      <w:lvlText w:val="%4."/>
      <w:lvlJc w:val="left"/>
      <w:pPr>
        <w:ind w:left="2880" w:hanging="360"/>
      </w:pPr>
    </w:lvl>
    <w:lvl w:ilvl="4" w:tplc="6560A1A2" w:tentative="1">
      <w:start w:val="1"/>
      <w:numFmt w:val="lowerLetter"/>
      <w:lvlText w:val="%5."/>
      <w:lvlJc w:val="left"/>
      <w:pPr>
        <w:ind w:left="3600" w:hanging="360"/>
      </w:pPr>
    </w:lvl>
    <w:lvl w:ilvl="5" w:tplc="5FC22DCA" w:tentative="1">
      <w:start w:val="1"/>
      <w:numFmt w:val="lowerRoman"/>
      <w:lvlText w:val="%6."/>
      <w:lvlJc w:val="right"/>
      <w:pPr>
        <w:ind w:left="4320" w:hanging="180"/>
      </w:pPr>
    </w:lvl>
    <w:lvl w:ilvl="6" w:tplc="0AD84BE2" w:tentative="1">
      <w:start w:val="1"/>
      <w:numFmt w:val="decimal"/>
      <w:lvlText w:val="%7."/>
      <w:lvlJc w:val="left"/>
      <w:pPr>
        <w:ind w:left="5040" w:hanging="360"/>
      </w:pPr>
    </w:lvl>
    <w:lvl w:ilvl="7" w:tplc="AC0842EE" w:tentative="1">
      <w:start w:val="1"/>
      <w:numFmt w:val="lowerLetter"/>
      <w:lvlText w:val="%8."/>
      <w:lvlJc w:val="left"/>
      <w:pPr>
        <w:ind w:left="5760" w:hanging="360"/>
      </w:pPr>
    </w:lvl>
    <w:lvl w:ilvl="8" w:tplc="35568302" w:tentative="1">
      <w:start w:val="1"/>
      <w:numFmt w:val="lowerRoman"/>
      <w:lvlText w:val="%9."/>
      <w:lvlJc w:val="right"/>
      <w:pPr>
        <w:ind w:left="6480" w:hanging="180"/>
      </w:pPr>
    </w:lvl>
  </w:abstractNum>
  <w:abstractNum w:abstractNumId="9" w15:restartNumberingAfterBreak="0">
    <w:nsid w:val="3E67461E"/>
    <w:multiLevelType w:val="hybridMultilevel"/>
    <w:tmpl w:val="08526C5E"/>
    <w:lvl w:ilvl="0" w:tplc="2C8C4E0A">
      <w:start w:val="1"/>
      <w:numFmt w:val="bullet"/>
      <w:lvlText w:val=""/>
      <w:lvlJc w:val="left"/>
      <w:pPr>
        <w:ind w:left="2160" w:hanging="360"/>
      </w:pPr>
      <w:rPr>
        <w:rFonts w:ascii="Symbol" w:hAnsi="Symbol" w:hint="default"/>
      </w:rPr>
    </w:lvl>
    <w:lvl w:ilvl="1" w:tplc="3BF6BEFA" w:tentative="1">
      <w:start w:val="1"/>
      <w:numFmt w:val="bullet"/>
      <w:lvlText w:val="o"/>
      <w:lvlJc w:val="left"/>
      <w:pPr>
        <w:ind w:left="2880" w:hanging="360"/>
      </w:pPr>
      <w:rPr>
        <w:rFonts w:ascii="Courier New" w:hAnsi="Courier New" w:cs="Courier New" w:hint="default"/>
      </w:rPr>
    </w:lvl>
    <w:lvl w:ilvl="2" w:tplc="FA76071E" w:tentative="1">
      <w:start w:val="1"/>
      <w:numFmt w:val="bullet"/>
      <w:lvlText w:val=""/>
      <w:lvlJc w:val="left"/>
      <w:pPr>
        <w:ind w:left="3600" w:hanging="360"/>
      </w:pPr>
      <w:rPr>
        <w:rFonts w:ascii="Wingdings" w:hAnsi="Wingdings" w:hint="default"/>
      </w:rPr>
    </w:lvl>
    <w:lvl w:ilvl="3" w:tplc="82CC3BBC" w:tentative="1">
      <w:start w:val="1"/>
      <w:numFmt w:val="bullet"/>
      <w:lvlText w:val=""/>
      <w:lvlJc w:val="left"/>
      <w:pPr>
        <w:ind w:left="4320" w:hanging="360"/>
      </w:pPr>
      <w:rPr>
        <w:rFonts w:ascii="Symbol" w:hAnsi="Symbol" w:hint="default"/>
      </w:rPr>
    </w:lvl>
    <w:lvl w:ilvl="4" w:tplc="FC44543A" w:tentative="1">
      <w:start w:val="1"/>
      <w:numFmt w:val="bullet"/>
      <w:lvlText w:val="o"/>
      <w:lvlJc w:val="left"/>
      <w:pPr>
        <w:ind w:left="5040" w:hanging="360"/>
      </w:pPr>
      <w:rPr>
        <w:rFonts w:ascii="Courier New" w:hAnsi="Courier New" w:cs="Courier New" w:hint="default"/>
      </w:rPr>
    </w:lvl>
    <w:lvl w:ilvl="5" w:tplc="C23C16D2" w:tentative="1">
      <w:start w:val="1"/>
      <w:numFmt w:val="bullet"/>
      <w:lvlText w:val=""/>
      <w:lvlJc w:val="left"/>
      <w:pPr>
        <w:ind w:left="5760" w:hanging="360"/>
      </w:pPr>
      <w:rPr>
        <w:rFonts w:ascii="Wingdings" w:hAnsi="Wingdings" w:hint="default"/>
      </w:rPr>
    </w:lvl>
    <w:lvl w:ilvl="6" w:tplc="E6BEC7D4" w:tentative="1">
      <w:start w:val="1"/>
      <w:numFmt w:val="bullet"/>
      <w:lvlText w:val=""/>
      <w:lvlJc w:val="left"/>
      <w:pPr>
        <w:ind w:left="6480" w:hanging="360"/>
      </w:pPr>
      <w:rPr>
        <w:rFonts w:ascii="Symbol" w:hAnsi="Symbol" w:hint="default"/>
      </w:rPr>
    </w:lvl>
    <w:lvl w:ilvl="7" w:tplc="823A8608" w:tentative="1">
      <w:start w:val="1"/>
      <w:numFmt w:val="bullet"/>
      <w:lvlText w:val="o"/>
      <w:lvlJc w:val="left"/>
      <w:pPr>
        <w:ind w:left="7200" w:hanging="360"/>
      </w:pPr>
      <w:rPr>
        <w:rFonts w:ascii="Courier New" w:hAnsi="Courier New" w:cs="Courier New" w:hint="default"/>
      </w:rPr>
    </w:lvl>
    <w:lvl w:ilvl="8" w:tplc="667AF406" w:tentative="1">
      <w:start w:val="1"/>
      <w:numFmt w:val="bullet"/>
      <w:lvlText w:val=""/>
      <w:lvlJc w:val="left"/>
      <w:pPr>
        <w:ind w:left="7920" w:hanging="360"/>
      </w:pPr>
      <w:rPr>
        <w:rFonts w:ascii="Wingdings" w:hAnsi="Wingdings" w:hint="default"/>
      </w:rPr>
    </w:lvl>
  </w:abstractNum>
  <w:abstractNum w:abstractNumId="10" w15:restartNumberingAfterBreak="0">
    <w:nsid w:val="43A66CE3"/>
    <w:multiLevelType w:val="hybridMultilevel"/>
    <w:tmpl w:val="A03480B8"/>
    <w:lvl w:ilvl="0" w:tplc="401A71BA">
      <w:start w:val="1"/>
      <w:numFmt w:val="hebrew1"/>
      <w:lvlText w:val="%1."/>
      <w:lvlJc w:val="left"/>
      <w:pPr>
        <w:ind w:left="644" w:hanging="360"/>
      </w:pPr>
      <w:rPr>
        <w:rFonts w:hint="default"/>
      </w:rPr>
    </w:lvl>
    <w:lvl w:ilvl="1" w:tplc="5D108754">
      <w:start w:val="1"/>
      <w:numFmt w:val="decimal"/>
      <w:lvlText w:val="%2."/>
      <w:lvlJc w:val="left"/>
      <w:pPr>
        <w:ind w:left="927" w:hanging="360"/>
      </w:pPr>
    </w:lvl>
    <w:lvl w:ilvl="2" w:tplc="078A978A" w:tentative="1">
      <w:start w:val="1"/>
      <w:numFmt w:val="lowerRoman"/>
      <w:lvlText w:val="%3."/>
      <w:lvlJc w:val="right"/>
      <w:pPr>
        <w:ind w:left="2160" w:hanging="180"/>
      </w:pPr>
    </w:lvl>
    <w:lvl w:ilvl="3" w:tplc="11C6166A" w:tentative="1">
      <w:start w:val="1"/>
      <w:numFmt w:val="decimal"/>
      <w:lvlText w:val="%4."/>
      <w:lvlJc w:val="left"/>
      <w:pPr>
        <w:ind w:left="2880" w:hanging="360"/>
      </w:pPr>
    </w:lvl>
    <w:lvl w:ilvl="4" w:tplc="4ADE9F9E" w:tentative="1">
      <w:start w:val="1"/>
      <w:numFmt w:val="lowerLetter"/>
      <w:lvlText w:val="%5."/>
      <w:lvlJc w:val="left"/>
      <w:pPr>
        <w:ind w:left="3600" w:hanging="360"/>
      </w:pPr>
    </w:lvl>
    <w:lvl w:ilvl="5" w:tplc="F71ED04C" w:tentative="1">
      <w:start w:val="1"/>
      <w:numFmt w:val="lowerRoman"/>
      <w:lvlText w:val="%6."/>
      <w:lvlJc w:val="right"/>
      <w:pPr>
        <w:ind w:left="4320" w:hanging="180"/>
      </w:pPr>
    </w:lvl>
    <w:lvl w:ilvl="6" w:tplc="B1F20E60" w:tentative="1">
      <w:start w:val="1"/>
      <w:numFmt w:val="decimal"/>
      <w:lvlText w:val="%7."/>
      <w:lvlJc w:val="left"/>
      <w:pPr>
        <w:ind w:left="5040" w:hanging="360"/>
      </w:pPr>
    </w:lvl>
    <w:lvl w:ilvl="7" w:tplc="DD1887C2" w:tentative="1">
      <w:start w:val="1"/>
      <w:numFmt w:val="lowerLetter"/>
      <w:lvlText w:val="%8."/>
      <w:lvlJc w:val="left"/>
      <w:pPr>
        <w:ind w:left="5760" w:hanging="360"/>
      </w:pPr>
    </w:lvl>
    <w:lvl w:ilvl="8" w:tplc="90849F12" w:tentative="1">
      <w:start w:val="1"/>
      <w:numFmt w:val="lowerRoman"/>
      <w:lvlText w:val="%9."/>
      <w:lvlJc w:val="right"/>
      <w:pPr>
        <w:ind w:left="6480" w:hanging="180"/>
      </w:pPr>
    </w:lvl>
  </w:abstractNum>
  <w:abstractNum w:abstractNumId="11" w15:restartNumberingAfterBreak="0">
    <w:nsid w:val="4AEE5B48"/>
    <w:multiLevelType w:val="hybridMultilevel"/>
    <w:tmpl w:val="430ED074"/>
    <w:lvl w:ilvl="0" w:tplc="DC229A16">
      <w:start w:val="1"/>
      <w:numFmt w:val="hebrew1"/>
      <w:lvlText w:val="%1."/>
      <w:lvlJc w:val="left"/>
      <w:pPr>
        <w:ind w:left="757" w:hanging="360"/>
      </w:pPr>
      <w:rPr>
        <w:rFonts w:hint="default"/>
      </w:rPr>
    </w:lvl>
    <w:lvl w:ilvl="1" w:tplc="E0861576" w:tentative="1">
      <w:start w:val="1"/>
      <w:numFmt w:val="lowerLetter"/>
      <w:lvlText w:val="%2."/>
      <w:lvlJc w:val="left"/>
      <w:pPr>
        <w:ind w:left="1477" w:hanging="360"/>
      </w:pPr>
    </w:lvl>
    <w:lvl w:ilvl="2" w:tplc="8F7AE8F8" w:tentative="1">
      <w:start w:val="1"/>
      <w:numFmt w:val="lowerRoman"/>
      <w:lvlText w:val="%3."/>
      <w:lvlJc w:val="right"/>
      <w:pPr>
        <w:ind w:left="2197" w:hanging="180"/>
      </w:pPr>
    </w:lvl>
    <w:lvl w:ilvl="3" w:tplc="38FA1BFC" w:tentative="1">
      <w:start w:val="1"/>
      <w:numFmt w:val="decimal"/>
      <w:lvlText w:val="%4."/>
      <w:lvlJc w:val="left"/>
      <w:pPr>
        <w:ind w:left="2917" w:hanging="360"/>
      </w:pPr>
    </w:lvl>
    <w:lvl w:ilvl="4" w:tplc="D7ECF26C" w:tentative="1">
      <w:start w:val="1"/>
      <w:numFmt w:val="lowerLetter"/>
      <w:lvlText w:val="%5."/>
      <w:lvlJc w:val="left"/>
      <w:pPr>
        <w:ind w:left="3637" w:hanging="360"/>
      </w:pPr>
    </w:lvl>
    <w:lvl w:ilvl="5" w:tplc="A74A6ED2" w:tentative="1">
      <w:start w:val="1"/>
      <w:numFmt w:val="lowerRoman"/>
      <w:lvlText w:val="%6."/>
      <w:lvlJc w:val="right"/>
      <w:pPr>
        <w:ind w:left="4357" w:hanging="180"/>
      </w:pPr>
    </w:lvl>
    <w:lvl w:ilvl="6" w:tplc="D8E6B108" w:tentative="1">
      <w:start w:val="1"/>
      <w:numFmt w:val="decimal"/>
      <w:lvlText w:val="%7."/>
      <w:lvlJc w:val="left"/>
      <w:pPr>
        <w:ind w:left="5077" w:hanging="360"/>
      </w:pPr>
    </w:lvl>
    <w:lvl w:ilvl="7" w:tplc="1124193C" w:tentative="1">
      <w:start w:val="1"/>
      <w:numFmt w:val="lowerLetter"/>
      <w:lvlText w:val="%8."/>
      <w:lvlJc w:val="left"/>
      <w:pPr>
        <w:ind w:left="5797" w:hanging="360"/>
      </w:pPr>
    </w:lvl>
    <w:lvl w:ilvl="8" w:tplc="86947D2E" w:tentative="1">
      <w:start w:val="1"/>
      <w:numFmt w:val="lowerRoman"/>
      <w:lvlText w:val="%9."/>
      <w:lvlJc w:val="right"/>
      <w:pPr>
        <w:ind w:left="6517" w:hanging="180"/>
      </w:pPr>
    </w:lvl>
  </w:abstractNum>
  <w:abstractNum w:abstractNumId="12" w15:restartNumberingAfterBreak="0">
    <w:nsid w:val="51404A4B"/>
    <w:multiLevelType w:val="hybridMultilevel"/>
    <w:tmpl w:val="5E4C0530"/>
    <w:lvl w:ilvl="0" w:tplc="8012C48E">
      <w:start w:val="1"/>
      <w:numFmt w:val="decimal"/>
      <w:lvlText w:val="%1."/>
      <w:lvlJc w:val="left"/>
      <w:pPr>
        <w:ind w:left="360" w:hanging="360"/>
      </w:pPr>
      <w:rPr>
        <w:rFonts w:hint="default"/>
        <w:u w:val="none"/>
      </w:rPr>
    </w:lvl>
    <w:lvl w:ilvl="1" w:tplc="35E04FC4" w:tentative="1">
      <w:start w:val="1"/>
      <w:numFmt w:val="lowerLetter"/>
      <w:lvlText w:val="%2."/>
      <w:lvlJc w:val="left"/>
      <w:pPr>
        <w:ind w:left="1080" w:hanging="360"/>
      </w:pPr>
    </w:lvl>
    <w:lvl w:ilvl="2" w:tplc="8EC213F2" w:tentative="1">
      <w:start w:val="1"/>
      <w:numFmt w:val="lowerRoman"/>
      <w:lvlText w:val="%3."/>
      <w:lvlJc w:val="right"/>
      <w:pPr>
        <w:ind w:left="1800" w:hanging="180"/>
      </w:pPr>
    </w:lvl>
    <w:lvl w:ilvl="3" w:tplc="A50654EE" w:tentative="1">
      <w:start w:val="1"/>
      <w:numFmt w:val="decimal"/>
      <w:lvlText w:val="%4."/>
      <w:lvlJc w:val="left"/>
      <w:pPr>
        <w:ind w:left="2520" w:hanging="360"/>
      </w:pPr>
    </w:lvl>
    <w:lvl w:ilvl="4" w:tplc="87FE7E76" w:tentative="1">
      <w:start w:val="1"/>
      <w:numFmt w:val="lowerLetter"/>
      <w:lvlText w:val="%5."/>
      <w:lvlJc w:val="left"/>
      <w:pPr>
        <w:ind w:left="3240" w:hanging="360"/>
      </w:pPr>
    </w:lvl>
    <w:lvl w:ilvl="5" w:tplc="07C8DAD0" w:tentative="1">
      <w:start w:val="1"/>
      <w:numFmt w:val="lowerRoman"/>
      <w:lvlText w:val="%6."/>
      <w:lvlJc w:val="right"/>
      <w:pPr>
        <w:ind w:left="3960" w:hanging="180"/>
      </w:pPr>
    </w:lvl>
    <w:lvl w:ilvl="6" w:tplc="1D5C982E" w:tentative="1">
      <w:start w:val="1"/>
      <w:numFmt w:val="decimal"/>
      <w:lvlText w:val="%7."/>
      <w:lvlJc w:val="left"/>
      <w:pPr>
        <w:ind w:left="4680" w:hanging="360"/>
      </w:pPr>
    </w:lvl>
    <w:lvl w:ilvl="7" w:tplc="A6B27088" w:tentative="1">
      <w:start w:val="1"/>
      <w:numFmt w:val="lowerLetter"/>
      <w:lvlText w:val="%8."/>
      <w:lvlJc w:val="left"/>
      <w:pPr>
        <w:ind w:left="5400" w:hanging="360"/>
      </w:pPr>
    </w:lvl>
    <w:lvl w:ilvl="8" w:tplc="843C950E" w:tentative="1">
      <w:start w:val="1"/>
      <w:numFmt w:val="lowerRoman"/>
      <w:lvlText w:val="%9."/>
      <w:lvlJc w:val="right"/>
      <w:pPr>
        <w:ind w:left="6120" w:hanging="180"/>
      </w:pPr>
    </w:lvl>
  </w:abstractNum>
  <w:abstractNum w:abstractNumId="13" w15:restartNumberingAfterBreak="0">
    <w:nsid w:val="6A546305"/>
    <w:multiLevelType w:val="hybridMultilevel"/>
    <w:tmpl w:val="3EA0D71C"/>
    <w:lvl w:ilvl="0" w:tplc="B99E8C02">
      <w:start w:val="1"/>
      <w:numFmt w:val="decimal"/>
      <w:lvlText w:val="(%1)"/>
      <w:lvlJc w:val="left"/>
      <w:pPr>
        <w:ind w:left="720" w:hanging="360"/>
      </w:pPr>
      <w:rPr>
        <w:rFonts w:hint="default"/>
      </w:rPr>
    </w:lvl>
    <w:lvl w:ilvl="1" w:tplc="CDBEA6DA" w:tentative="1">
      <w:start w:val="1"/>
      <w:numFmt w:val="lowerLetter"/>
      <w:lvlText w:val="%2."/>
      <w:lvlJc w:val="left"/>
      <w:pPr>
        <w:ind w:left="1440" w:hanging="360"/>
      </w:pPr>
    </w:lvl>
    <w:lvl w:ilvl="2" w:tplc="9386072E" w:tentative="1">
      <w:start w:val="1"/>
      <w:numFmt w:val="lowerRoman"/>
      <w:lvlText w:val="%3."/>
      <w:lvlJc w:val="right"/>
      <w:pPr>
        <w:ind w:left="2160" w:hanging="180"/>
      </w:pPr>
    </w:lvl>
    <w:lvl w:ilvl="3" w:tplc="B1269E9E" w:tentative="1">
      <w:start w:val="1"/>
      <w:numFmt w:val="decimal"/>
      <w:lvlText w:val="%4."/>
      <w:lvlJc w:val="left"/>
      <w:pPr>
        <w:ind w:left="2880" w:hanging="360"/>
      </w:pPr>
    </w:lvl>
    <w:lvl w:ilvl="4" w:tplc="88106E60" w:tentative="1">
      <w:start w:val="1"/>
      <w:numFmt w:val="lowerLetter"/>
      <w:lvlText w:val="%5."/>
      <w:lvlJc w:val="left"/>
      <w:pPr>
        <w:ind w:left="3600" w:hanging="360"/>
      </w:pPr>
    </w:lvl>
    <w:lvl w:ilvl="5" w:tplc="EAD485EC" w:tentative="1">
      <w:start w:val="1"/>
      <w:numFmt w:val="lowerRoman"/>
      <w:lvlText w:val="%6."/>
      <w:lvlJc w:val="right"/>
      <w:pPr>
        <w:ind w:left="4320" w:hanging="180"/>
      </w:pPr>
    </w:lvl>
    <w:lvl w:ilvl="6" w:tplc="588C876E" w:tentative="1">
      <w:start w:val="1"/>
      <w:numFmt w:val="decimal"/>
      <w:lvlText w:val="%7."/>
      <w:lvlJc w:val="left"/>
      <w:pPr>
        <w:ind w:left="5040" w:hanging="360"/>
      </w:pPr>
    </w:lvl>
    <w:lvl w:ilvl="7" w:tplc="F836BF9E" w:tentative="1">
      <w:start w:val="1"/>
      <w:numFmt w:val="lowerLetter"/>
      <w:lvlText w:val="%8."/>
      <w:lvlJc w:val="left"/>
      <w:pPr>
        <w:ind w:left="5760" w:hanging="360"/>
      </w:pPr>
    </w:lvl>
    <w:lvl w:ilvl="8" w:tplc="862CA48A" w:tentative="1">
      <w:start w:val="1"/>
      <w:numFmt w:val="lowerRoman"/>
      <w:lvlText w:val="%9."/>
      <w:lvlJc w:val="right"/>
      <w:pPr>
        <w:ind w:left="6480" w:hanging="180"/>
      </w:pPr>
    </w:lvl>
  </w:abstractNum>
  <w:abstractNum w:abstractNumId="14" w15:restartNumberingAfterBreak="0">
    <w:nsid w:val="73641CB0"/>
    <w:multiLevelType w:val="hybridMultilevel"/>
    <w:tmpl w:val="6FA47C6C"/>
    <w:lvl w:ilvl="0" w:tplc="D3724476">
      <w:start w:val="1"/>
      <w:numFmt w:val="hebrew1"/>
      <w:lvlText w:val="%1."/>
      <w:lvlJc w:val="left"/>
      <w:pPr>
        <w:ind w:left="720" w:hanging="360"/>
      </w:pPr>
      <w:rPr>
        <w:rFonts w:hint="default"/>
      </w:rPr>
    </w:lvl>
    <w:lvl w:ilvl="1" w:tplc="AE72BE1A" w:tentative="1">
      <w:start w:val="1"/>
      <w:numFmt w:val="lowerLetter"/>
      <w:lvlText w:val="%2."/>
      <w:lvlJc w:val="left"/>
      <w:pPr>
        <w:ind w:left="1440" w:hanging="360"/>
      </w:pPr>
    </w:lvl>
    <w:lvl w:ilvl="2" w:tplc="80941DE4" w:tentative="1">
      <w:start w:val="1"/>
      <w:numFmt w:val="lowerRoman"/>
      <w:lvlText w:val="%3."/>
      <w:lvlJc w:val="right"/>
      <w:pPr>
        <w:ind w:left="2160" w:hanging="180"/>
      </w:pPr>
    </w:lvl>
    <w:lvl w:ilvl="3" w:tplc="2758AEEA" w:tentative="1">
      <w:start w:val="1"/>
      <w:numFmt w:val="decimal"/>
      <w:lvlText w:val="%4."/>
      <w:lvlJc w:val="left"/>
      <w:pPr>
        <w:ind w:left="2880" w:hanging="360"/>
      </w:pPr>
    </w:lvl>
    <w:lvl w:ilvl="4" w:tplc="D4BCC390" w:tentative="1">
      <w:start w:val="1"/>
      <w:numFmt w:val="lowerLetter"/>
      <w:lvlText w:val="%5."/>
      <w:lvlJc w:val="left"/>
      <w:pPr>
        <w:ind w:left="3600" w:hanging="360"/>
      </w:pPr>
    </w:lvl>
    <w:lvl w:ilvl="5" w:tplc="27F08F54" w:tentative="1">
      <w:start w:val="1"/>
      <w:numFmt w:val="lowerRoman"/>
      <w:lvlText w:val="%6."/>
      <w:lvlJc w:val="right"/>
      <w:pPr>
        <w:ind w:left="4320" w:hanging="180"/>
      </w:pPr>
    </w:lvl>
    <w:lvl w:ilvl="6" w:tplc="1C8C70EE" w:tentative="1">
      <w:start w:val="1"/>
      <w:numFmt w:val="decimal"/>
      <w:lvlText w:val="%7."/>
      <w:lvlJc w:val="left"/>
      <w:pPr>
        <w:ind w:left="5040" w:hanging="360"/>
      </w:pPr>
    </w:lvl>
    <w:lvl w:ilvl="7" w:tplc="D9622A60" w:tentative="1">
      <w:start w:val="1"/>
      <w:numFmt w:val="lowerLetter"/>
      <w:lvlText w:val="%8."/>
      <w:lvlJc w:val="left"/>
      <w:pPr>
        <w:ind w:left="5760" w:hanging="360"/>
      </w:pPr>
    </w:lvl>
    <w:lvl w:ilvl="8" w:tplc="F5B25794" w:tentative="1">
      <w:start w:val="1"/>
      <w:numFmt w:val="lowerRoman"/>
      <w:lvlText w:val="%9."/>
      <w:lvlJc w:val="right"/>
      <w:pPr>
        <w:ind w:left="6480" w:hanging="180"/>
      </w:pPr>
    </w:lvl>
  </w:abstractNum>
  <w:num w:numId="1">
    <w:abstractNumId w:val="2"/>
  </w:num>
  <w:num w:numId="2">
    <w:abstractNumId w:val="4"/>
  </w:num>
  <w:num w:numId="3">
    <w:abstractNumId w:val="11"/>
  </w:num>
  <w:num w:numId="4">
    <w:abstractNumId w:val="1"/>
  </w:num>
  <w:num w:numId="5">
    <w:abstractNumId w:val="14"/>
  </w:num>
  <w:num w:numId="6">
    <w:abstractNumId w:val="0"/>
  </w:num>
  <w:num w:numId="7">
    <w:abstractNumId w:val="13"/>
  </w:num>
  <w:num w:numId="8">
    <w:abstractNumId w:val="10"/>
  </w:num>
  <w:num w:numId="9">
    <w:abstractNumId w:val="6"/>
  </w:num>
  <w:num w:numId="10">
    <w:abstractNumId w:val="9"/>
  </w:num>
  <w:num w:numId="11">
    <w:abstractNumId w:val="12"/>
  </w:num>
  <w:num w:numId="12">
    <w:abstractNumId w:val="3"/>
  </w:num>
  <w:num w:numId="13">
    <w:abstractNumId w:val="8"/>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ivug" w:val="0"/>
  </w:docVars>
  <w:rsids>
    <w:rsidRoot w:val="00130431"/>
    <w:rsid w:val="00002401"/>
    <w:rsid w:val="00005605"/>
    <w:rsid w:val="0000621F"/>
    <w:rsid w:val="0000757E"/>
    <w:rsid w:val="000125A4"/>
    <w:rsid w:val="000179E7"/>
    <w:rsid w:val="00020AC2"/>
    <w:rsid w:val="00020E50"/>
    <w:rsid w:val="00022A2C"/>
    <w:rsid w:val="00026887"/>
    <w:rsid w:val="00027E00"/>
    <w:rsid w:val="00030445"/>
    <w:rsid w:val="00030AA1"/>
    <w:rsid w:val="00030CAE"/>
    <w:rsid w:val="00033278"/>
    <w:rsid w:val="000350B7"/>
    <w:rsid w:val="00037ED0"/>
    <w:rsid w:val="00041BBA"/>
    <w:rsid w:val="00043CAB"/>
    <w:rsid w:val="00045C5D"/>
    <w:rsid w:val="00052A54"/>
    <w:rsid w:val="00052BF7"/>
    <w:rsid w:val="00056765"/>
    <w:rsid w:val="000569FE"/>
    <w:rsid w:val="0005728F"/>
    <w:rsid w:val="000578BD"/>
    <w:rsid w:val="0006157E"/>
    <w:rsid w:val="00063AE7"/>
    <w:rsid w:val="000657E5"/>
    <w:rsid w:val="00066423"/>
    <w:rsid w:val="000714F7"/>
    <w:rsid w:val="000719CA"/>
    <w:rsid w:val="0007443C"/>
    <w:rsid w:val="00076BDE"/>
    <w:rsid w:val="000777FA"/>
    <w:rsid w:val="00077E70"/>
    <w:rsid w:val="0008161A"/>
    <w:rsid w:val="00084C3B"/>
    <w:rsid w:val="00087541"/>
    <w:rsid w:val="00094CD0"/>
    <w:rsid w:val="00095446"/>
    <w:rsid w:val="000A1098"/>
    <w:rsid w:val="000B12BC"/>
    <w:rsid w:val="000B14AE"/>
    <w:rsid w:val="000B2F3E"/>
    <w:rsid w:val="000B3178"/>
    <w:rsid w:val="000B7658"/>
    <w:rsid w:val="000C6F02"/>
    <w:rsid w:val="000C73D8"/>
    <w:rsid w:val="000D2DA4"/>
    <w:rsid w:val="000D3D34"/>
    <w:rsid w:val="000D558D"/>
    <w:rsid w:val="000E12FB"/>
    <w:rsid w:val="000E4A86"/>
    <w:rsid w:val="000E768B"/>
    <w:rsid w:val="000F05C3"/>
    <w:rsid w:val="000F0B26"/>
    <w:rsid w:val="000F364B"/>
    <w:rsid w:val="000F51F6"/>
    <w:rsid w:val="00100020"/>
    <w:rsid w:val="001023CA"/>
    <w:rsid w:val="00102A14"/>
    <w:rsid w:val="001037B2"/>
    <w:rsid w:val="00103DB9"/>
    <w:rsid w:val="00104B0F"/>
    <w:rsid w:val="00105391"/>
    <w:rsid w:val="0010640C"/>
    <w:rsid w:val="001072F6"/>
    <w:rsid w:val="00107FA1"/>
    <w:rsid w:val="00111DC3"/>
    <w:rsid w:val="0011710B"/>
    <w:rsid w:val="0012137C"/>
    <w:rsid w:val="00121478"/>
    <w:rsid w:val="001244A5"/>
    <w:rsid w:val="00130431"/>
    <w:rsid w:val="00132933"/>
    <w:rsid w:val="00132F80"/>
    <w:rsid w:val="001355D0"/>
    <w:rsid w:val="00137FA6"/>
    <w:rsid w:val="001435F9"/>
    <w:rsid w:val="00151986"/>
    <w:rsid w:val="001524C9"/>
    <w:rsid w:val="00153CE4"/>
    <w:rsid w:val="00154FBB"/>
    <w:rsid w:val="00155107"/>
    <w:rsid w:val="001573ED"/>
    <w:rsid w:val="001619B8"/>
    <w:rsid w:val="00161EFF"/>
    <w:rsid w:val="0016255B"/>
    <w:rsid w:val="0016365A"/>
    <w:rsid w:val="00166E48"/>
    <w:rsid w:val="0016770B"/>
    <w:rsid w:val="00173962"/>
    <w:rsid w:val="001807A0"/>
    <w:rsid w:val="00182DDA"/>
    <w:rsid w:val="00184675"/>
    <w:rsid w:val="0018565C"/>
    <w:rsid w:val="001865DA"/>
    <w:rsid w:val="00186B40"/>
    <w:rsid w:val="00187FEC"/>
    <w:rsid w:val="00190A95"/>
    <w:rsid w:val="00193F88"/>
    <w:rsid w:val="001A3281"/>
    <w:rsid w:val="001A4F60"/>
    <w:rsid w:val="001A539B"/>
    <w:rsid w:val="001A7B71"/>
    <w:rsid w:val="001B0A02"/>
    <w:rsid w:val="001B1472"/>
    <w:rsid w:val="001B398B"/>
    <w:rsid w:val="001B45F1"/>
    <w:rsid w:val="001C2649"/>
    <w:rsid w:val="001C3222"/>
    <w:rsid w:val="001C3E71"/>
    <w:rsid w:val="001C4FB9"/>
    <w:rsid w:val="001C51D2"/>
    <w:rsid w:val="001D1405"/>
    <w:rsid w:val="001D47D0"/>
    <w:rsid w:val="001D790F"/>
    <w:rsid w:val="001D7ACB"/>
    <w:rsid w:val="001E37E4"/>
    <w:rsid w:val="001E6F8A"/>
    <w:rsid w:val="001F3900"/>
    <w:rsid w:val="001F416D"/>
    <w:rsid w:val="001F6EEB"/>
    <w:rsid w:val="00201FB0"/>
    <w:rsid w:val="002024A3"/>
    <w:rsid w:val="002025E3"/>
    <w:rsid w:val="002043A0"/>
    <w:rsid w:val="00204B0B"/>
    <w:rsid w:val="002053B6"/>
    <w:rsid w:val="00205C62"/>
    <w:rsid w:val="002159E1"/>
    <w:rsid w:val="00217BBA"/>
    <w:rsid w:val="00224B49"/>
    <w:rsid w:val="00230F5C"/>
    <w:rsid w:val="0023200D"/>
    <w:rsid w:val="002333D9"/>
    <w:rsid w:val="00233671"/>
    <w:rsid w:val="00233F7E"/>
    <w:rsid w:val="00241F6C"/>
    <w:rsid w:val="00243F8A"/>
    <w:rsid w:val="002446CE"/>
    <w:rsid w:val="00245B0F"/>
    <w:rsid w:val="00246C9A"/>
    <w:rsid w:val="00250517"/>
    <w:rsid w:val="002515E5"/>
    <w:rsid w:val="00252977"/>
    <w:rsid w:val="002537B1"/>
    <w:rsid w:val="00255504"/>
    <w:rsid w:val="002573F0"/>
    <w:rsid w:val="00257B4E"/>
    <w:rsid w:val="002648CB"/>
    <w:rsid w:val="00270C3E"/>
    <w:rsid w:val="00271A33"/>
    <w:rsid w:val="00272F04"/>
    <w:rsid w:val="00274748"/>
    <w:rsid w:val="00274820"/>
    <w:rsid w:val="0027578A"/>
    <w:rsid w:val="0027762B"/>
    <w:rsid w:val="002835CD"/>
    <w:rsid w:val="00283DBB"/>
    <w:rsid w:val="00284FE6"/>
    <w:rsid w:val="0028687F"/>
    <w:rsid w:val="00287918"/>
    <w:rsid w:val="00292BA6"/>
    <w:rsid w:val="00293BB3"/>
    <w:rsid w:val="002A10FA"/>
    <w:rsid w:val="002A19A7"/>
    <w:rsid w:val="002A2FCC"/>
    <w:rsid w:val="002A5507"/>
    <w:rsid w:val="002A6C24"/>
    <w:rsid w:val="002A6EFE"/>
    <w:rsid w:val="002A7BFB"/>
    <w:rsid w:val="002B0625"/>
    <w:rsid w:val="002B08DE"/>
    <w:rsid w:val="002B0CAC"/>
    <w:rsid w:val="002B1A50"/>
    <w:rsid w:val="002B554F"/>
    <w:rsid w:val="002B6C05"/>
    <w:rsid w:val="002C2437"/>
    <w:rsid w:val="002C35CC"/>
    <w:rsid w:val="002D5FC7"/>
    <w:rsid w:val="002D60DE"/>
    <w:rsid w:val="002E2EB5"/>
    <w:rsid w:val="002E4321"/>
    <w:rsid w:val="002E49B0"/>
    <w:rsid w:val="002E6BB4"/>
    <w:rsid w:val="002F1E20"/>
    <w:rsid w:val="002F40A7"/>
    <w:rsid w:val="0030097C"/>
    <w:rsid w:val="00302563"/>
    <w:rsid w:val="003111F2"/>
    <w:rsid w:val="00312362"/>
    <w:rsid w:val="003131C6"/>
    <w:rsid w:val="003159A4"/>
    <w:rsid w:val="00316A5C"/>
    <w:rsid w:val="00316CF9"/>
    <w:rsid w:val="00317070"/>
    <w:rsid w:val="00317C4C"/>
    <w:rsid w:val="003201EB"/>
    <w:rsid w:val="00321530"/>
    <w:rsid w:val="003274BA"/>
    <w:rsid w:val="0033057F"/>
    <w:rsid w:val="00334DFE"/>
    <w:rsid w:val="003366B4"/>
    <w:rsid w:val="00336EBD"/>
    <w:rsid w:val="0034109E"/>
    <w:rsid w:val="003427FB"/>
    <w:rsid w:val="00343005"/>
    <w:rsid w:val="00343A1E"/>
    <w:rsid w:val="0034790B"/>
    <w:rsid w:val="00350225"/>
    <w:rsid w:val="003506BC"/>
    <w:rsid w:val="003558E4"/>
    <w:rsid w:val="003621A4"/>
    <w:rsid w:val="003624B0"/>
    <w:rsid w:val="0036261A"/>
    <w:rsid w:val="003731DA"/>
    <w:rsid w:val="00374257"/>
    <w:rsid w:val="00376556"/>
    <w:rsid w:val="003840C3"/>
    <w:rsid w:val="00384366"/>
    <w:rsid w:val="00384B2A"/>
    <w:rsid w:val="003902B0"/>
    <w:rsid w:val="00391B45"/>
    <w:rsid w:val="00391E2A"/>
    <w:rsid w:val="0039213A"/>
    <w:rsid w:val="00395C34"/>
    <w:rsid w:val="00395DF0"/>
    <w:rsid w:val="003A059C"/>
    <w:rsid w:val="003A5671"/>
    <w:rsid w:val="003B41D4"/>
    <w:rsid w:val="003B5537"/>
    <w:rsid w:val="003C0B63"/>
    <w:rsid w:val="003C4683"/>
    <w:rsid w:val="003D330E"/>
    <w:rsid w:val="003D3402"/>
    <w:rsid w:val="003D439A"/>
    <w:rsid w:val="003D4E71"/>
    <w:rsid w:val="003D4F24"/>
    <w:rsid w:val="003D5307"/>
    <w:rsid w:val="003D657A"/>
    <w:rsid w:val="003D7C54"/>
    <w:rsid w:val="003E02C3"/>
    <w:rsid w:val="003E112E"/>
    <w:rsid w:val="003E5B2B"/>
    <w:rsid w:val="003E7C7B"/>
    <w:rsid w:val="003F1FF2"/>
    <w:rsid w:val="003F3A61"/>
    <w:rsid w:val="003F7AED"/>
    <w:rsid w:val="00403D60"/>
    <w:rsid w:val="00412DE8"/>
    <w:rsid w:val="00414253"/>
    <w:rsid w:val="00415106"/>
    <w:rsid w:val="004159D9"/>
    <w:rsid w:val="0042152A"/>
    <w:rsid w:val="00423CCF"/>
    <w:rsid w:val="0042792E"/>
    <w:rsid w:val="004305BD"/>
    <w:rsid w:val="00431FB1"/>
    <w:rsid w:val="0043529D"/>
    <w:rsid w:val="00442605"/>
    <w:rsid w:val="004436B7"/>
    <w:rsid w:val="00444E96"/>
    <w:rsid w:val="0044547C"/>
    <w:rsid w:val="00445DC8"/>
    <w:rsid w:val="004508D1"/>
    <w:rsid w:val="004515FB"/>
    <w:rsid w:val="004528B5"/>
    <w:rsid w:val="0045594D"/>
    <w:rsid w:val="00455A53"/>
    <w:rsid w:val="00455A61"/>
    <w:rsid w:val="00460832"/>
    <w:rsid w:val="00462E9B"/>
    <w:rsid w:val="00463A81"/>
    <w:rsid w:val="00466198"/>
    <w:rsid w:val="004713C4"/>
    <w:rsid w:val="00472214"/>
    <w:rsid w:val="004736B3"/>
    <w:rsid w:val="004744DF"/>
    <w:rsid w:val="00475567"/>
    <w:rsid w:val="0048318E"/>
    <w:rsid w:val="00485BE9"/>
    <w:rsid w:val="00486609"/>
    <w:rsid w:val="0049182A"/>
    <w:rsid w:val="00497B7F"/>
    <w:rsid w:val="004A3B15"/>
    <w:rsid w:val="004B447F"/>
    <w:rsid w:val="004B4632"/>
    <w:rsid w:val="004B4DF9"/>
    <w:rsid w:val="004B4F75"/>
    <w:rsid w:val="004B5CC5"/>
    <w:rsid w:val="004C2692"/>
    <w:rsid w:val="004C343B"/>
    <w:rsid w:val="004C6331"/>
    <w:rsid w:val="004D0042"/>
    <w:rsid w:val="004D277E"/>
    <w:rsid w:val="004D7D28"/>
    <w:rsid w:val="004E2524"/>
    <w:rsid w:val="004E3512"/>
    <w:rsid w:val="004E48E9"/>
    <w:rsid w:val="004E70AD"/>
    <w:rsid w:val="004F0B56"/>
    <w:rsid w:val="004F2014"/>
    <w:rsid w:val="004F33E3"/>
    <w:rsid w:val="004F4E38"/>
    <w:rsid w:val="004F74D3"/>
    <w:rsid w:val="00500FAE"/>
    <w:rsid w:val="00503857"/>
    <w:rsid w:val="00503914"/>
    <w:rsid w:val="005048AF"/>
    <w:rsid w:val="005066D5"/>
    <w:rsid w:val="0051066B"/>
    <w:rsid w:val="005106FE"/>
    <w:rsid w:val="00510C28"/>
    <w:rsid w:val="0051265B"/>
    <w:rsid w:val="0051269F"/>
    <w:rsid w:val="00512FE4"/>
    <w:rsid w:val="00513018"/>
    <w:rsid w:val="00513305"/>
    <w:rsid w:val="005134D7"/>
    <w:rsid w:val="00521A3D"/>
    <w:rsid w:val="00521EF6"/>
    <w:rsid w:val="00522D20"/>
    <w:rsid w:val="00525A7C"/>
    <w:rsid w:val="00527BB2"/>
    <w:rsid w:val="00530219"/>
    <w:rsid w:val="005341A0"/>
    <w:rsid w:val="00537287"/>
    <w:rsid w:val="00542E6A"/>
    <w:rsid w:val="00552009"/>
    <w:rsid w:val="00554452"/>
    <w:rsid w:val="00562AF4"/>
    <w:rsid w:val="0056340E"/>
    <w:rsid w:val="0056627D"/>
    <w:rsid w:val="0056675B"/>
    <w:rsid w:val="005712C4"/>
    <w:rsid w:val="005764E6"/>
    <w:rsid w:val="005771D3"/>
    <w:rsid w:val="00581173"/>
    <w:rsid w:val="0059013F"/>
    <w:rsid w:val="0059258C"/>
    <w:rsid w:val="005941B6"/>
    <w:rsid w:val="005946F2"/>
    <w:rsid w:val="00594E3A"/>
    <w:rsid w:val="005A2454"/>
    <w:rsid w:val="005A2478"/>
    <w:rsid w:val="005A4D15"/>
    <w:rsid w:val="005A5707"/>
    <w:rsid w:val="005A6553"/>
    <w:rsid w:val="005A6623"/>
    <w:rsid w:val="005A6A3D"/>
    <w:rsid w:val="005A7474"/>
    <w:rsid w:val="005B1254"/>
    <w:rsid w:val="005B3B56"/>
    <w:rsid w:val="005C1F5B"/>
    <w:rsid w:val="005C68FB"/>
    <w:rsid w:val="005C71C6"/>
    <w:rsid w:val="005D107F"/>
    <w:rsid w:val="005D25E1"/>
    <w:rsid w:val="005D517D"/>
    <w:rsid w:val="005D5BE5"/>
    <w:rsid w:val="005D6363"/>
    <w:rsid w:val="005D7CB9"/>
    <w:rsid w:val="005E034C"/>
    <w:rsid w:val="005E178C"/>
    <w:rsid w:val="005E18AA"/>
    <w:rsid w:val="005E770E"/>
    <w:rsid w:val="005E7CDF"/>
    <w:rsid w:val="005F0A0A"/>
    <w:rsid w:val="005F3B19"/>
    <w:rsid w:val="005F46C6"/>
    <w:rsid w:val="005F503A"/>
    <w:rsid w:val="005F6055"/>
    <w:rsid w:val="00600645"/>
    <w:rsid w:val="0060121F"/>
    <w:rsid w:val="00604AB2"/>
    <w:rsid w:val="006133FF"/>
    <w:rsid w:val="006136A5"/>
    <w:rsid w:val="00617CB5"/>
    <w:rsid w:val="00620EF4"/>
    <w:rsid w:val="006224D2"/>
    <w:rsid w:val="00633EAC"/>
    <w:rsid w:val="006340A2"/>
    <w:rsid w:val="00636912"/>
    <w:rsid w:val="00636BBF"/>
    <w:rsid w:val="00637B2B"/>
    <w:rsid w:val="0064588B"/>
    <w:rsid w:val="0064606A"/>
    <w:rsid w:val="00646930"/>
    <w:rsid w:val="006473A9"/>
    <w:rsid w:val="00651701"/>
    <w:rsid w:val="00656131"/>
    <w:rsid w:val="00661F9C"/>
    <w:rsid w:val="006660B2"/>
    <w:rsid w:val="00666120"/>
    <w:rsid w:val="00670C90"/>
    <w:rsid w:val="0067104A"/>
    <w:rsid w:val="006777B3"/>
    <w:rsid w:val="00682D26"/>
    <w:rsid w:val="00684813"/>
    <w:rsid w:val="00685278"/>
    <w:rsid w:val="00685FEB"/>
    <w:rsid w:val="00686706"/>
    <w:rsid w:val="00690FB8"/>
    <w:rsid w:val="006927D4"/>
    <w:rsid w:val="0069317D"/>
    <w:rsid w:val="006A0FC5"/>
    <w:rsid w:val="006A1A9B"/>
    <w:rsid w:val="006A6364"/>
    <w:rsid w:val="006B4BF9"/>
    <w:rsid w:val="006B7149"/>
    <w:rsid w:val="006C7A2D"/>
    <w:rsid w:val="006D0369"/>
    <w:rsid w:val="006D04A1"/>
    <w:rsid w:val="006D2F1B"/>
    <w:rsid w:val="006D2FCA"/>
    <w:rsid w:val="006D3A81"/>
    <w:rsid w:val="006E347F"/>
    <w:rsid w:val="006E79CD"/>
    <w:rsid w:val="006F369E"/>
    <w:rsid w:val="006F3E39"/>
    <w:rsid w:val="006F3E72"/>
    <w:rsid w:val="006F647C"/>
    <w:rsid w:val="006F74C4"/>
    <w:rsid w:val="00702A34"/>
    <w:rsid w:val="007039AE"/>
    <w:rsid w:val="0070551B"/>
    <w:rsid w:val="007078AB"/>
    <w:rsid w:val="00711B31"/>
    <w:rsid w:val="00711C49"/>
    <w:rsid w:val="00715211"/>
    <w:rsid w:val="00717ECA"/>
    <w:rsid w:val="00721796"/>
    <w:rsid w:val="007252A1"/>
    <w:rsid w:val="00727935"/>
    <w:rsid w:val="00732C50"/>
    <w:rsid w:val="0073671E"/>
    <w:rsid w:val="00736FB0"/>
    <w:rsid w:val="00741169"/>
    <w:rsid w:val="00741EC0"/>
    <w:rsid w:val="00743ABF"/>
    <w:rsid w:val="0074483C"/>
    <w:rsid w:val="00744C6B"/>
    <w:rsid w:val="007528AB"/>
    <w:rsid w:val="00756208"/>
    <w:rsid w:val="00756E5E"/>
    <w:rsid w:val="00756E7E"/>
    <w:rsid w:val="00757393"/>
    <w:rsid w:val="00757F50"/>
    <w:rsid w:val="00763055"/>
    <w:rsid w:val="00770A24"/>
    <w:rsid w:val="00771085"/>
    <w:rsid w:val="00772850"/>
    <w:rsid w:val="00772B5C"/>
    <w:rsid w:val="00774FA5"/>
    <w:rsid w:val="00775108"/>
    <w:rsid w:val="00776C0D"/>
    <w:rsid w:val="00782B9A"/>
    <w:rsid w:val="007860B0"/>
    <w:rsid w:val="00790AFD"/>
    <w:rsid w:val="00792D3A"/>
    <w:rsid w:val="00795561"/>
    <w:rsid w:val="00797ABF"/>
    <w:rsid w:val="007A0B4D"/>
    <w:rsid w:val="007A1B4D"/>
    <w:rsid w:val="007A54BE"/>
    <w:rsid w:val="007A5F2C"/>
    <w:rsid w:val="007A6676"/>
    <w:rsid w:val="007B2A00"/>
    <w:rsid w:val="007B3E18"/>
    <w:rsid w:val="007B6DD8"/>
    <w:rsid w:val="007B6F01"/>
    <w:rsid w:val="007B7B51"/>
    <w:rsid w:val="007C0B7B"/>
    <w:rsid w:val="007C1F7B"/>
    <w:rsid w:val="007C375C"/>
    <w:rsid w:val="007C379F"/>
    <w:rsid w:val="007C4150"/>
    <w:rsid w:val="007C7FB0"/>
    <w:rsid w:val="007D1DB6"/>
    <w:rsid w:val="007D4E09"/>
    <w:rsid w:val="007D6D57"/>
    <w:rsid w:val="007D7305"/>
    <w:rsid w:val="007E1306"/>
    <w:rsid w:val="007E4169"/>
    <w:rsid w:val="007F4798"/>
    <w:rsid w:val="007F62B8"/>
    <w:rsid w:val="007F6D6A"/>
    <w:rsid w:val="00801C89"/>
    <w:rsid w:val="00804CC1"/>
    <w:rsid w:val="0080552A"/>
    <w:rsid w:val="008100EC"/>
    <w:rsid w:val="00810E52"/>
    <w:rsid w:val="00820CBB"/>
    <w:rsid w:val="00824AD8"/>
    <w:rsid w:val="00830BB3"/>
    <w:rsid w:val="00830BEF"/>
    <w:rsid w:val="00832ED7"/>
    <w:rsid w:val="008336B2"/>
    <w:rsid w:val="008344B1"/>
    <w:rsid w:val="00835F80"/>
    <w:rsid w:val="00841F98"/>
    <w:rsid w:val="008455AD"/>
    <w:rsid w:val="008473CD"/>
    <w:rsid w:val="00847AFC"/>
    <w:rsid w:val="00847C77"/>
    <w:rsid w:val="008501C9"/>
    <w:rsid w:val="00852EAA"/>
    <w:rsid w:val="008539D3"/>
    <w:rsid w:val="00855D41"/>
    <w:rsid w:val="00857F11"/>
    <w:rsid w:val="00861897"/>
    <w:rsid w:val="0086382E"/>
    <w:rsid w:val="0086638D"/>
    <w:rsid w:val="0087121F"/>
    <w:rsid w:val="0087276E"/>
    <w:rsid w:val="008730EF"/>
    <w:rsid w:val="00873903"/>
    <w:rsid w:val="00875C20"/>
    <w:rsid w:val="00882BA2"/>
    <w:rsid w:val="0088491C"/>
    <w:rsid w:val="00884B06"/>
    <w:rsid w:val="008858B1"/>
    <w:rsid w:val="00887943"/>
    <w:rsid w:val="0089308C"/>
    <w:rsid w:val="00895168"/>
    <w:rsid w:val="008A2000"/>
    <w:rsid w:val="008A279F"/>
    <w:rsid w:val="008A27DD"/>
    <w:rsid w:val="008B064E"/>
    <w:rsid w:val="008B1411"/>
    <w:rsid w:val="008B1DF5"/>
    <w:rsid w:val="008B234E"/>
    <w:rsid w:val="008B7B7B"/>
    <w:rsid w:val="008C1BEC"/>
    <w:rsid w:val="008D1913"/>
    <w:rsid w:val="008D3E63"/>
    <w:rsid w:val="008D4084"/>
    <w:rsid w:val="008D47F6"/>
    <w:rsid w:val="008D7474"/>
    <w:rsid w:val="008E0858"/>
    <w:rsid w:val="008E1121"/>
    <w:rsid w:val="008E2DA2"/>
    <w:rsid w:val="008E2E33"/>
    <w:rsid w:val="008E7AA4"/>
    <w:rsid w:val="008F4BCC"/>
    <w:rsid w:val="008F6312"/>
    <w:rsid w:val="00901046"/>
    <w:rsid w:val="0091788B"/>
    <w:rsid w:val="00922171"/>
    <w:rsid w:val="009343FB"/>
    <w:rsid w:val="00934F50"/>
    <w:rsid w:val="00941324"/>
    <w:rsid w:val="00942B0F"/>
    <w:rsid w:val="00954D6C"/>
    <w:rsid w:val="00955212"/>
    <w:rsid w:val="00957E1F"/>
    <w:rsid w:val="00962753"/>
    <w:rsid w:val="00966B34"/>
    <w:rsid w:val="00966F2C"/>
    <w:rsid w:val="00974DDF"/>
    <w:rsid w:val="00975B13"/>
    <w:rsid w:val="00976B27"/>
    <w:rsid w:val="0098574B"/>
    <w:rsid w:val="00987150"/>
    <w:rsid w:val="00987662"/>
    <w:rsid w:val="009923F0"/>
    <w:rsid w:val="00992FD6"/>
    <w:rsid w:val="009955BB"/>
    <w:rsid w:val="00995CDB"/>
    <w:rsid w:val="009965B6"/>
    <w:rsid w:val="009A0DDD"/>
    <w:rsid w:val="009A585F"/>
    <w:rsid w:val="009A68E1"/>
    <w:rsid w:val="009B0778"/>
    <w:rsid w:val="009B093C"/>
    <w:rsid w:val="009B0CE1"/>
    <w:rsid w:val="009B7487"/>
    <w:rsid w:val="009C21E4"/>
    <w:rsid w:val="009C6441"/>
    <w:rsid w:val="009D0AC9"/>
    <w:rsid w:val="009D30D4"/>
    <w:rsid w:val="009D428E"/>
    <w:rsid w:val="009D662E"/>
    <w:rsid w:val="009D68AC"/>
    <w:rsid w:val="009D78DC"/>
    <w:rsid w:val="009E2202"/>
    <w:rsid w:val="009E5786"/>
    <w:rsid w:val="009E7B00"/>
    <w:rsid w:val="009F5211"/>
    <w:rsid w:val="00A011AA"/>
    <w:rsid w:val="00A02CE7"/>
    <w:rsid w:val="00A063B4"/>
    <w:rsid w:val="00A07392"/>
    <w:rsid w:val="00A11BBB"/>
    <w:rsid w:val="00A11CFD"/>
    <w:rsid w:val="00A16021"/>
    <w:rsid w:val="00A16A12"/>
    <w:rsid w:val="00A176B9"/>
    <w:rsid w:val="00A21184"/>
    <w:rsid w:val="00A23949"/>
    <w:rsid w:val="00A279EF"/>
    <w:rsid w:val="00A34F66"/>
    <w:rsid w:val="00A36016"/>
    <w:rsid w:val="00A40E6C"/>
    <w:rsid w:val="00A42628"/>
    <w:rsid w:val="00A430B2"/>
    <w:rsid w:val="00A43207"/>
    <w:rsid w:val="00A459A8"/>
    <w:rsid w:val="00A46CAB"/>
    <w:rsid w:val="00A47F53"/>
    <w:rsid w:val="00A50E03"/>
    <w:rsid w:val="00A51BF1"/>
    <w:rsid w:val="00A51C00"/>
    <w:rsid w:val="00A528B1"/>
    <w:rsid w:val="00A56F6E"/>
    <w:rsid w:val="00A5744D"/>
    <w:rsid w:val="00A61F08"/>
    <w:rsid w:val="00A64508"/>
    <w:rsid w:val="00A655B5"/>
    <w:rsid w:val="00A6646C"/>
    <w:rsid w:val="00A67825"/>
    <w:rsid w:val="00A67979"/>
    <w:rsid w:val="00A67BDE"/>
    <w:rsid w:val="00A71FE8"/>
    <w:rsid w:val="00A73845"/>
    <w:rsid w:val="00A7479A"/>
    <w:rsid w:val="00A76F9A"/>
    <w:rsid w:val="00A80F9A"/>
    <w:rsid w:val="00A82168"/>
    <w:rsid w:val="00A84FD0"/>
    <w:rsid w:val="00A91261"/>
    <w:rsid w:val="00A92B48"/>
    <w:rsid w:val="00A934D2"/>
    <w:rsid w:val="00A94B5A"/>
    <w:rsid w:val="00AA310B"/>
    <w:rsid w:val="00AB06E2"/>
    <w:rsid w:val="00AB3C1D"/>
    <w:rsid w:val="00AB434A"/>
    <w:rsid w:val="00AB46AF"/>
    <w:rsid w:val="00AC5DEF"/>
    <w:rsid w:val="00AC67E4"/>
    <w:rsid w:val="00AC7F74"/>
    <w:rsid w:val="00AD0CE4"/>
    <w:rsid w:val="00AD293D"/>
    <w:rsid w:val="00AD413D"/>
    <w:rsid w:val="00AD77F2"/>
    <w:rsid w:val="00AD7D84"/>
    <w:rsid w:val="00AE0564"/>
    <w:rsid w:val="00AE11CE"/>
    <w:rsid w:val="00AE59ED"/>
    <w:rsid w:val="00AE695E"/>
    <w:rsid w:val="00AF1671"/>
    <w:rsid w:val="00AF5454"/>
    <w:rsid w:val="00AF6463"/>
    <w:rsid w:val="00AF6A84"/>
    <w:rsid w:val="00B00524"/>
    <w:rsid w:val="00B1034C"/>
    <w:rsid w:val="00B14398"/>
    <w:rsid w:val="00B144BA"/>
    <w:rsid w:val="00B17498"/>
    <w:rsid w:val="00B174F4"/>
    <w:rsid w:val="00B17C01"/>
    <w:rsid w:val="00B23ABF"/>
    <w:rsid w:val="00B24C6F"/>
    <w:rsid w:val="00B26037"/>
    <w:rsid w:val="00B27E74"/>
    <w:rsid w:val="00B40BC5"/>
    <w:rsid w:val="00B41343"/>
    <w:rsid w:val="00B415C9"/>
    <w:rsid w:val="00B42092"/>
    <w:rsid w:val="00B426DB"/>
    <w:rsid w:val="00B460C1"/>
    <w:rsid w:val="00B4648B"/>
    <w:rsid w:val="00B4666A"/>
    <w:rsid w:val="00B47F5D"/>
    <w:rsid w:val="00B52272"/>
    <w:rsid w:val="00B5255F"/>
    <w:rsid w:val="00B533F2"/>
    <w:rsid w:val="00B55B5C"/>
    <w:rsid w:val="00B5622C"/>
    <w:rsid w:val="00B56C73"/>
    <w:rsid w:val="00B6014E"/>
    <w:rsid w:val="00B621E7"/>
    <w:rsid w:val="00B64C21"/>
    <w:rsid w:val="00B64CBB"/>
    <w:rsid w:val="00B656FA"/>
    <w:rsid w:val="00B70DA0"/>
    <w:rsid w:val="00B74C0A"/>
    <w:rsid w:val="00B81082"/>
    <w:rsid w:val="00B8128B"/>
    <w:rsid w:val="00B8164D"/>
    <w:rsid w:val="00B82F83"/>
    <w:rsid w:val="00B86C99"/>
    <w:rsid w:val="00B9057D"/>
    <w:rsid w:val="00B92559"/>
    <w:rsid w:val="00B9272F"/>
    <w:rsid w:val="00B97E99"/>
    <w:rsid w:val="00BA1378"/>
    <w:rsid w:val="00BA1ADC"/>
    <w:rsid w:val="00BA1E46"/>
    <w:rsid w:val="00BA29DC"/>
    <w:rsid w:val="00BA2CE3"/>
    <w:rsid w:val="00BA4A37"/>
    <w:rsid w:val="00BA65A1"/>
    <w:rsid w:val="00BB3957"/>
    <w:rsid w:val="00BC0804"/>
    <w:rsid w:val="00BC0E9D"/>
    <w:rsid w:val="00BC4731"/>
    <w:rsid w:val="00BC4E3E"/>
    <w:rsid w:val="00BC5EC2"/>
    <w:rsid w:val="00BD22C9"/>
    <w:rsid w:val="00BD521B"/>
    <w:rsid w:val="00BD5840"/>
    <w:rsid w:val="00BD6B50"/>
    <w:rsid w:val="00BD7FA5"/>
    <w:rsid w:val="00BE3CC5"/>
    <w:rsid w:val="00BE52DC"/>
    <w:rsid w:val="00BE7C26"/>
    <w:rsid w:val="00BF0684"/>
    <w:rsid w:val="00BF7A46"/>
    <w:rsid w:val="00C00326"/>
    <w:rsid w:val="00C02B38"/>
    <w:rsid w:val="00C061A1"/>
    <w:rsid w:val="00C1081E"/>
    <w:rsid w:val="00C108F1"/>
    <w:rsid w:val="00C1321D"/>
    <w:rsid w:val="00C13428"/>
    <w:rsid w:val="00C17A34"/>
    <w:rsid w:val="00C2243A"/>
    <w:rsid w:val="00C23E9C"/>
    <w:rsid w:val="00C25DB8"/>
    <w:rsid w:val="00C27905"/>
    <w:rsid w:val="00C30DE0"/>
    <w:rsid w:val="00C3714E"/>
    <w:rsid w:val="00C41B7F"/>
    <w:rsid w:val="00C61BE6"/>
    <w:rsid w:val="00C63FD3"/>
    <w:rsid w:val="00C6454B"/>
    <w:rsid w:val="00C64BC0"/>
    <w:rsid w:val="00C65B4F"/>
    <w:rsid w:val="00C66DDB"/>
    <w:rsid w:val="00C67758"/>
    <w:rsid w:val="00C700B1"/>
    <w:rsid w:val="00C71A92"/>
    <w:rsid w:val="00C7458F"/>
    <w:rsid w:val="00C747A8"/>
    <w:rsid w:val="00C76D13"/>
    <w:rsid w:val="00C80B0B"/>
    <w:rsid w:val="00C85612"/>
    <w:rsid w:val="00C86B03"/>
    <w:rsid w:val="00C901D4"/>
    <w:rsid w:val="00C90934"/>
    <w:rsid w:val="00C91FD9"/>
    <w:rsid w:val="00C9285D"/>
    <w:rsid w:val="00C9364F"/>
    <w:rsid w:val="00C93E46"/>
    <w:rsid w:val="00C955B8"/>
    <w:rsid w:val="00C967A4"/>
    <w:rsid w:val="00CA0053"/>
    <w:rsid w:val="00CA29AA"/>
    <w:rsid w:val="00CA2E8F"/>
    <w:rsid w:val="00CA4850"/>
    <w:rsid w:val="00CA7096"/>
    <w:rsid w:val="00CA7BFD"/>
    <w:rsid w:val="00CB091B"/>
    <w:rsid w:val="00CB64F0"/>
    <w:rsid w:val="00CB688E"/>
    <w:rsid w:val="00CB78EA"/>
    <w:rsid w:val="00CC1603"/>
    <w:rsid w:val="00CC18D7"/>
    <w:rsid w:val="00CC26EC"/>
    <w:rsid w:val="00CC3AAC"/>
    <w:rsid w:val="00CC6B48"/>
    <w:rsid w:val="00CC7AD7"/>
    <w:rsid w:val="00CD5865"/>
    <w:rsid w:val="00CE1117"/>
    <w:rsid w:val="00CE1B99"/>
    <w:rsid w:val="00CE5196"/>
    <w:rsid w:val="00CE51BD"/>
    <w:rsid w:val="00CE5AF1"/>
    <w:rsid w:val="00CE60E5"/>
    <w:rsid w:val="00CE745A"/>
    <w:rsid w:val="00CE7BBB"/>
    <w:rsid w:val="00CF365B"/>
    <w:rsid w:val="00CF4AFE"/>
    <w:rsid w:val="00D005D0"/>
    <w:rsid w:val="00D038D0"/>
    <w:rsid w:val="00D06B30"/>
    <w:rsid w:val="00D06C3B"/>
    <w:rsid w:val="00D109FA"/>
    <w:rsid w:val="00D14CAB"/>
    <w:rsid w:val="00D14F59"/>
    <w:rsid w:val="00D15E62"/>
    <w:rsid w:val="00D16FD2"/>
    <w:rsid w:val="00D2646A"/>
    <w:rsid w:val="00D27532"/>
    <w:rsid w:val="00D31FFA"/>
    <w:rsid w:val="00D33240"/>
    <w:rsid w:val="00D36AFD"/>
    <w:rsid w:val="00D3783F"/>
    <w:rsid w:val="00D46FA6"/>
    <w:rsid w:val="00D52090"/>
    <w:rsid w:val="00D52723"/>
    <w:rsid w:val="00D5409B"/>
    <w:rsid w:val="00D56B5E"/>
    <w:rsid w:val="00D578FB"/>
    <w:rsid w:val="00D678C2"/>
    <w:rsid w:val="00D70ECD"/>
    <w:rsid w:val="00D71944"/>
    <w:rsid w:val="00D72439"/>
    <w:rsid w:val="00D8171A"/>
    <w:rsid w:val="00D941EB"/>
    <w:rsid w:val="00D947A8"/>
    <w:rsid w:val="00DA127B"/>
    <w:rsid w:val="00DA5AA8"/>
    <w:rsid w:val="00DA6260"/>
    <w:rsid w:val="00DB0EC8"/>
    <w:rsid w:val="00DB2CCC"/>
    <w:rsid w:val="00DC03B5"/>
    <w:rsid w:val="00DC2DC9"/>
    <w:rsid w:val="00DC58E2"/>
    <w:rsid w:val="00DC6EB9"/>
    <w:rsid w:val="00DD2A7A"/>
    <w:rsid w:val="00DD395D"/>
    <w:rsid w:val="00DD54D3"/>
    <w:rsid w:val="00DD77EF"/>
    <w:rsid w:val="00DE1636"/>
    <w:rsid w:val="00DE1ED9"/>
    <w:rsid w:val="00DE3A65"/>
    <w:rsid w:val="00DE6060"/>
    <w:rsid w:val="00DE6B37"/>
    <w:rsid w:val="00DF03D1"/>
    <w:rsid w:val="00DF50AA"/>
    <w:rsid w:val="00E0201C"/>
    <w:rsid w:val="00E0288C"/>
    <w:rsid w:val="00E05ED9"/>
    <w:rsid w:val="00E06D55"/>
    <w:rsid w:val="00E222E7"/>
    <w:rsid w:val="00E235E6"/>
    <w:rsid w:val="00E249C0"/>
    <w:rsid w:val="00E2529F"/>
    <w:rsid w:val="00E25586"/>
    <w:rsid w:val="00E27B1A"/>
    <w:rsid w:val="00E3280B"/>
    <w:rsid w:val="00E32C3C"/>
    <w:rsid w:val="00E330C3"/>
    <w:rsid w:val="00E372AB"/>
    <w:rsid w:val="00E37470"/>
    <w:rsid w:val="00E43203"/>
    <w:rsid w:val="00E434C9"/>
    <w:rsid w:val="00E44FD5"/>
    <w:rsid w:val="00E452E1"/>
    <w:rsid w:val="00E45BFF"/>
    <w:rsid w:val="00E466F1"/>
    <w:rsid w:val="00E50F38"/>
    <w:rsid w:val="00E52B91"/>
    <w:rsid w:val="00E54DE7"/>
    <w:rsid w:val="00E61CBF"/>
    <w:rsid w:val="00E61DD6"/>
    <w:rsid w:val="00E65BDB"/>
    <w:rsid w:val="00E703BF"/>
    <w:rsid w:val="00E714DF"/>
    <w:rsid w:val="00E72A79"/>
    <w:rsid w:val="00E75D83"/>
    <w:rsid w:val="00E771F2"/>
    <w:rsid w:val="00E80714"/>
    <w:rsid w:val="00E85ACF"/>
    <w:rsid w:val="00E87707"/>
    <w:rsid w:val="00E90262"/>
    <w:rsid w:val="00E91192"/>
    <w:rsid w:val="00E93AE3"/>
    <w:rsid w:val="00E94C77"/>
    <w:rsid w:val="00E96062"/>
    <w:rsid w:val="00E97E08"/>
    <w:rsid w:val="00EA1CED"/>
    <w:rsid w:val="00EA3549"/>
    <w:rsid w:val="00EB0643"/>
    <w:rsid w:val="00EB27BE"/>
    <w:rsid w:val="00EB4CB1"/>
    <w:rsid w:val="00EB7D4B"/>
    <w:rsid w:val="00EC6DD2"/>
    <w:rsid w:val="00EC74F0"/>
    <w:rsid w:val="00EC7B23"/>
    <w:rsid w:val="00ED15CE"/>
    <w:rsid w:val="00ED2B5B"/>
    <w:rsid w:val="00ED4D4B"/>
    <w:rsid w:val="00EE42C1"/>
    <w:rsid w:val="00EE611D"/>
    <w:rsid w:val="00EE68D9"/>
    <w:rsid w:val="00EF250F"/>
    <w:rsid w:val="00EF2B27"/>
    <w:rsid w:val="00EF4A80"/>
    <w:rsid w:val="00EF580F"/>
    <w:rsid w:val="00EF68FC"/>
    <w:rsid w:val="00EF6A01"/>
    <w:rsid w:val="00F019BB"/>
    <w:rsid w:val="00F0302F"/>
    <w:rsid w:val="00F036C4"/>
    <w:rsid w:val="00F04ECE"/>
    <w:rsid w:val="00F07F02"/>
    <w:rsid w:val="00F11970"/>
    <w:rsid w:val="00F158AA"/>
    <w:rsid w:val="00F2071E"/>
    <w:rsid w:val="00F233EC"/>
    <w:rsid w:val="00F237FF"/>
    <w:rsid w:val="00F334E8"/>
    <w:rsid w:val="00F33D54"/>
    <w:rsid w:val="00F3502C"/>
    <w:rsid w:val="00F35446"/>
    <w:rsid w:val="00F42247"/>
    <w:rsid w:val="00F42D82"/>
    <w:rsid w:val="00F46F39"/>
    <w:rsid w:val="00F54259"/>
    <w:rsid w:val="00F5585B"/>
    <w:rsid w:val="00F5733B"/>
    <w:rsid w:val="00F577C9"/>
    <w:rsid w:val="00F57E9A"/>
    <w:rsid w:val="00F632E5"/>
    <w:rsid w:val="00F64009"/>
    <w:rsid w:val="00F6626C"/>
    <w:rsid w:val="00F66340"/>
    <w:rsid w:val="00F72719"/>
    <w:rsid w:val="00F728D7"/>
    <w:rsid w:val="00F77856"/>
    <w:rsid w:val="00F82588"/>
    <w:rsid w:val="00F840D6"/>
    <w:rsid w:val="00F84763"/>
    <w:rsid w:val="00F847F4"/>
    <w:rsid w:val="00F87467"/>
    <w:rsid w:val="00F87F5E"/>
    <w:rsid w:val="00F92645"/>
    <w:rsid w:val="00F9270E"/>
    <w:rsid w:val="00F97C85"/>
    <w:rsid w:val="00FA05D4"/>
    <w:rsid w:val="00FA2A99"/>
    <w:rsid w:val="00FA42D3"/>
    <w:rsid w:val="00FA5CDC"/>
    <w:rsid w:val="00FB01C0"/>
    <w:rsid w:val="00FB4CF0"/>
    <w:rsid w:val="00FB6ED9"/>
    <w:rsid w:val="00FC04DF"/>
    <w:rsid w:val="00FD4725"/>
    <w:rsid w:val="00FE04B2"/>
    <w:rsid w:val="00FE0CA2"/>
    <w:rsid w:val="00FE1D07"/>
    <w:rsid w:val="00FE2670"/>
    <w:rsid w:val="00FE3F17"/>
    <w:rsid w:val="00FE5133"/>
    <w:rsid w:val="00FE6DFD"/>
    <w:rsid w:val="00FE7A45"/>
    <w:rsid w:val="00FF662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56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B5C"/>
    <w:pPr>
      <w:overflowPunct w:val="0"/>
      <w:autoSpaceDE w:val="0"/>
      <w:autoSpaceDN w:val="0"/>
      <w:bidi/>
      <w:adjustRightInd w:val="0"/>
      <w:spacing w:after="0" w:line="240" w:lineRule="auto"/>
      <w:textAlignment w:val="baseline"/>
    </w:pPr>
    <w:rPr>
      <w:rFonts w:ascii="Times New Roman" w:eastAsia="Times New Roman" w:hAnsi="Times New Roman" w:cs="David"/>
      <w:sz w:val="26"/>
      <w:szCs w:val="26"/>
    </w:rPr>
  </w:style>
  <w:style w:type="paragraph" w:styleId="2">
    <w:name w:val="heading 2"/>
    <w:basedOn w:val="a"/>
    <w:link w:val="20"/>
    <w:uiPriority w:val="9"/>
    <w:qFormat/>
    <w:rsid w:val="00527BB2"/>
    <w:pPr>
      <w:overflowPunct/>
      <w:autoSpaceDE/>
      <w:autoSpaceDN/>
      <w:bidi w:val="0"/>
      <w:adjustRightInd/>
      <w:spacing w:before="100" w:beforeAutospacing="1" w:after="100" w:afterAutospacing="1"/>
      <w:textAlignment w:val="auto"/>
      <w:outlineLvl w:val="1"/>
    </w:pPr>
    <w:rPr>
      <w:rFonts w:cs="Times New Roman"/>
      <w:b/>
      <w:bCs/>
      <w:sz w:val="36"/>
      <w:szCs w:val="36"/>
    </w:rPr>
  </w:style>
  <w:style w:type="paragraph" w:styleId="3">
    <w:name w:val="heading 3"/>
    <w:basedOn w:val="a"/>
    <w:link w:val="30"/>
    <w:uiPriority w:val="9"/>
    <w:qFormat/>
    <w:rsid w:val="00527BB2"/>
    <w:pPr>
      <w:overflowPunct/>
      <w:autoSpaceDE/>
      <w:autoSpaceDN/>
      <w:bidi w:val="0"/>
      <w:adjustRightInd/>
      <w:spacing w:before="100" w:beforeAutospacing="1" w:after="100" w:afterAutospacing="1"/>
      <w:textAlignment w:val="auto"/>
      <w:outlineLvl w:val="2"/>
    </w:pPr>
    <w:rPr>
      <w:rFonts w:cs="Times New Roman"/>
      <w:b/>
      <w:bCs/>
      <w:sz w:val="27"/>
      <w:szCs w:val="27"/>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rsid w:val="00772B5C"/>
    <w:rPr>
      <w:rFonts w:cs="David"/>
      <w:vertAlign w:val="superscript"/>
    </w:rPr>
  </w:style>
  <w:style w:type="paragraph" w:styleId="a4">
    <w:name w:val="footnote text"/>
    <w:basedOn w:val="a"/>
    <w:link w:val="a5"/>
    <w:uiPriority w:val="99"/>
    <w:semiHidden/>
    <w:rsid w:val="00772B5C"/>
    <w:rPr>
      <w:szCs w:val="20"/>
    </w:rPr>
  </w:style>
  <w:style w:type="character" w:customStyle="1" w:styleId="a5">
    <w:name w:val="טקסט הערת שוליים תו"/>
    <w:basedOn w:val="a0"/>
    <w:link w:val="a4"/>
    <w:uiPriority w:val="99"/>
    <w:semiHidden/>
    <w:rsid w:val="00772B5C"/>
    <w:rPr>
      <w:rFonts w:ascii="Times New Roman" w:eastAsia="Times New Roman" w:hAnsi="Times New Roman" w:cs="David"/>
      <w:sz w:val="26"/>
      <w:szCs w:val="20"/>
    </w:rPr>
  </w:style>
  <w:style w:type="paragraph" w:customStyle="1" w:styleId="p00">
    <w:name w:val="p00"/>
    <w:basedOn w:val="a"/>
    <w:rsid w:val="0034109E"/>
    <w:pPr>
      <w:overflowPunct/>
      <w:autoSpaceDE/>
      <w:autoSpaceDN/>
      <w:bidi w:val="0"/>
      <w:adjustRightInd/>
      <w:spacing w:before="100" w:beforeAutospacing="1" w:after="100" w:afterAutospacing="1"/>
      <w:textAlignment w:val="auto"/>
    </w:pPr>
    <w:rPr>
      <w:rFonts w:cs="Times New Roman"/>
      <w:sz w:val="24"/>
      <w:szCs w:val="24"/>
    </w:rPr>
  </w:style>
  <w:style w:type="character" w:customStyle="1" w:styleId="big-number">
    <w:name w:val="big-number"/>
    <w:basedOn w:val="a0"/>
    <w:rsid w:val="0034109E"/>
  </w:style>
  <w:style w:type="character" w:customStyle="1" w:styleId="apple-converted-space">
    <w:name w:val="apple-converted-space"/>
    <w:basedOn w:val="a0"/>
    <w:rsid w:val="0034109E"/>
  </w:style>
  <w:style w:type="character" w:customStyle="1" w:styleId="default">
    <w:name w:val="default"/>
    <w:basedOn w:val="a0"/>
    <w:rsid w:val="0034109E"/>
  </w:style>
  <w:style w:type="paragraph" w:styleId="a6">
    <w:name w:val="Balloon Text"/>
    <w:basedOn w:val="a"/>
    <w:link w:val="a7"/>
    <w:uiPriority w:val="99"/>
    <w:semiHidden/>
    <w:unhideWhenUsed/>
    <w:rsid w:val="00B64CBB"/>
    <w:rPr>
      <w:rFonts w:ascii="Tahoma" w:hAnsi="Tahoma" w:cs="Tahoma"/>
      <w:sz w:val="16"/>
      <w:szCs w:val="16"/>
    </w:rPr>
  </w:style>
  <w:style w:type="character" w:customStyle="1" w:styleId="a7">
    <w:name w:val="טקסט בלונים תו"/>
    <w:basedOn w:val="a0"/>
    <w:link w:val="a6"/>
    <w:uiPriority w:val="99"/>
    <w:semiHidden/>
    <w:rsid w:val="00B64CBB"/>
    <w:rPr>
      <w:rFonts w:ascii="Tahoma" w:eastAsia="Times New Roman" w:hAnsi="Tahoma" w:cs="Tahoma"/>
      <w:sz w:val="16"/>
      <w:szCs w:val="16"/>
    </w:rPr>
  </w:style>
  <w:style w:type="character" w:customStyle="1" w:styleId="italic">
    <w:name w:val="italic"/>
    <w:basedOn w:val="a0"/>
    <w:rsid w:val="00AF1671"/>
  </w:style>
  <w:style w:type="character" w:styleId="Hyperlink">
    <w:name w:val="Hyperlink"/>
    <w:basedOn w:val="a0"/>
    <w:uiPriority w:val="99"/>
    <w:unhideWhenUsed/>
    <w:rsid w:val="000F364B"/>
    <w:rPr>
      <w:color w:val="0000FF"/>
      <w:u w:val="single"/>
    </w:rPr>
  </w:style>
  <w:style w:type="character" w:customStyle="1" w:styleId="author">
    <w:name w:val="author"/>
    <w:basedOn w:val="a0"/>
    <w:rsid w:val="00B86C99"/>
  </w:style>
  <w:style w:type="character" w:customStyle="1" w:styleId="a-color-secondary">
    <w:name w:val="a-color-secondary"/>
    <w:basedOn w:val="a0"/>
    <w:rsid w:val="00B86C99"/>
  </w:style>
  <w:style w:type="character" w:styleId="a8">
    <w:name w:val="annotation reference"/>
    <w:basedOn w:val="a0"/>
    <w:uiPriority w:val="99"/>
    <w:semiHidden/>
    <w:unhideWhenUsed/>
    <w:rsid w:val="004F74D3"/>
    <w:rPr>
      <w:sz w:val="16"/>
      <w:szCs w:val="16"/>
    </w:rPr>
  </w:style>
  <w:style w:type="paragraph" w:styleId="a9">
    <w:name w:val="annotation text"/>
    <w:basedOn w:val="a"/>
    <w:link w:val="aa"/>
    <w:uiPriority w:val="99"/>
    <w:semiHidden/>
    <w:unhideWhenUsed/>
    <w:rsid w:val="004F74D3"/>
    <w:rPr>
      <w:sz w:val="20"/>
      <w:szCs w:val="20"/>
    </w:rPr>
  </w:style>
  <w:style w:type="character" w:customStyle="1" w:styleId="aa">
    <w:name w:val="טקסט הערה תו"/>
    <w:basedOn w:val="a0"/>
    <w:link w:val="a9"/>
    <w:uiPriority w:val="99"/>
    <w:semiHidden/>
    <w:rsid w:val="004F74D3"/>
    <w:rPr>
      <w:rFonts w:ascii="Times New Roman" w:eastAsia="Times New Roman" w:hAnsi="Times New Roman" w:cs="David"/>
      <w:sz w:val="20"/>
      <w:szCs w:val="20"/>
    </w:rPr>
  </w:style>
  <w:style w:type="paragraph" w:styleId="ab">
    <w:name w:val="annotation subject"/>
    <w:basedOn w:val="a9"/>
    <w:next w:val="a9"/>
    <w:link w:val="ac"/>
    <w:uiPriority w:val="99"/>
    <w:semiHidden/>
    <w:unhideWhenUsed/>
    <w:rsid w:val="004F74D3"/>
    <w:rPr>
      <w:b/>
      <w:bCs/>
    </w:rPr>
  </w:style>
  <w:style w:type="character" w:customStyle="1" w:styleId="ac">
    <w:name w:val="נושא הערה תו"/>
    <w:basedOn w:val="aa"/>
    <w:link w:val="ab"/>
    <w:uiPriority w:val="99"/>
    <w:semiHidden/>
    <w:rsid w:val="004F74D3"/>
    <w:rPr>
      <w:rFonts w:ascii="Times New Roman" w:eastAsia="Times New Roman" w:hAnsi="Times New Roman" w:cs="David"/>
      <w:b/>
      <w:bCs/>
      <w:sz w:val="20"/>
      <w:szCs w:val="20"/>
    </w:rPr>
  </w:style>
  <w:style w:type="paragraph" w:styleId="ad">
    <w:name w:val="List Paragraph"/>
    <w:basedOn w:val="a"/>
    <w:uiPriority w:val="34"/>
    <w:qFormat/>
    <w:rsid w:val="003E5B2B"/>
    <w:pPr>
      <w:ind w:left="720"/>
      <w:contextualSpacing/>
    </w:pPr>
  </w:style>
  <w:style w:type="paragraph" w:styleId="ae">
    <w:name w:val="Revision"/>
    <w:hidden/>
    <w:uiPriority w:val="99"/>
    <w:semiHidden/>
    <w:rsid w:val="00384366"/>
    <w:pPr>
      <w:spacing w:after="0" w:line="240" w:lineRule="auto"/>
    </w:pPr>
    <w:rPr>
      <w:rFonts w:ascii="Times New Roman" w:eastAsia="Times New Roman" w:hAnsi="Times New Roman" w:cs="David"/>
      <w:sz w:val="26"/>
      <w:szCs w:val="26"/>
    </w:rPr>
  </w:style>
  <w:style w:type="paragraph" w:styleId="af">
    <w:name w:val="endnote text"/>
    <w:basedOn w:val="a"/>
    <w:link w:val="af0"/>
    <w:uiPriority w:val="99"/>
    <w:semiHidden/>
    <w:unhideWhenUsed/>
    <w:rsid w:val="00FF662C"/>
    <w:rPr>
      <w:sz w:val="20"/>
      <w:szCs w:val="20"/>
    </w:rPr>
  </w:style>
  <w:style w:type="character" w:customStyle="1" w:styleId="af0">
    <w:name w:val="טקסט הערת סיום תו"/>
    <w:basedOn w:val="a0"/>
    <w:link w:val="af"/>
    <w:uiPriority w:val="99"/>
    <w:semiHidden/>
    <w:rsid w:val="00FF662C"/>
    <w:rPr>
      <w:rFonts w:ascii="Times New Roman" w:eastAsia="Times New Roman" w:hAnsi="Times New Roman" w:cs="David"/>
      <w:sz w:val="20"/>
      <w:szCs w:val="20"/>
    </w:rPr>
  </w:style>
  <w:style w:type="character" w:styleId="af1">
    <w:name w:val="endnote reference"/>
    <w:basedOn w:val="a0"/>
    <w:uiPriority w:val="99"/>
    <w:semiHidden/>
    <w:unhideWhenUsed/>
    <w:rsid w:val="00FF662C"/>
    <w:rPr>
      <w:vertAlign w:val="superscript"/>
    </w:rPr>
  </w:style>
  <w:style w:type="paragraph" w:styleId="af2">
    <w:name w:val="header"/>
    <w:basedOn w:val="a"/>
    <w:link w:val="af3"/>
    <w:uiPriority w:val="99"/>
    <w:unhideWhenUsed/>
    <w:rsid w:val="008A2000"/>
    <w:pPr>
      <w:tabs>
        <w:tab w:val="center" w:pos="4153"/>
        <w:tab w:val="right" w:pos="8306"/>
      </w:tabs>
    </w:pPr>
  </w:style>
  <w:style w:type="character" w:customStyle="1" w:styleId="af3">
    <w:name w:val="כותרת עליונה תו"/>
    <w:basedOn w:val="a0"/>
    <w:link w:val="af2"/>
    <w:uiPriority w:val="99"/>
    <w:rsid w:val="008A2000"/>
    <w:rPr>
      <w:rFonts w:ascii="Times New Roman" w:eastAsia="Times New Roman" w:hAnsi="Times New Roman" w:cs="David"/>
      <w:sz w:val="26"/>
      <w:szCs w:val="26"/>
    </w:rPr>
  </w:style>
  <w:style w:type="paragraph" w:styleId="af4">
    <w:name w:val="footer"/>
    <w:basedOn w:val="a"/>
    <w:link w:val="af5"/>
    <w:uiPriority w:val="99"/>
    <w:unhideWhenUsed/>
    <w:rsid w:val="008A2000"/>
    <w:pPr>
      <w:tabs>
        <w:tab w:val="center" w:pos="4153"/>
        <w:tab w:val="right" w:pos="8306"/>
      </w:tabs>
    </w:pPr>
  </w:style>
  <w:style w:type="character" w:customStyle="1" w:styleId="af5">
    <w:name w:val="כותרת תחתונה תו"/>
    <w:basedOn w:val="a0"/>
    <w:link w:val="af4"/>
    <w:uiPriority w:val="99"/>
    <w:rsid w:val="008A2000"/>
    <w:rPr>
      <w:rFonts w:ascii="Times New Roman" w:eastAsia="Times New Roman" w:hAnsi="Times New Roman" w:cs="David"/>
      <w:sz w:val="26"/>
      <w:szCs w:val="26"/>
    </w:rPr>
  </w:style>
  <w:style w:type="paragraph" w:customStyle="1" w:styleId="filenumber0">
    <w:name w:val="filenumber0"/>
    <w:basedOn w:val="a"/>
    <w:rsid w:val="003558E4"/>
    <w:pPr>
      <w:overflowPunct/>
      <w:autoSpaceDE/>
      <w:autoSpaceDN/>
      <w:bidi w:val="0"/>
      <w:adjustRightInd/>
      <w:spacing w:before="100" w:beforeAutospacing="1" w:after="100" w:afterAutospacing="1"/>
      <w:textAlignment w:val="auto"/>
    </w:pPr>
    <w:rPr>
      <w:rFonts w:cs="Times New Roman"/>
      <w:sz w:val="24"/>
      <w:szCs w:val="24"/>
    </w:rPr>
  </w:style>
  <w:style w:type="paragraph" w:customStyle="1" w:styleId="ruller40">
    <w:name w:val="ruller40"/>
    <w:basedOn w:val="a"/>
    <w:rsid w:val="00A67825"/>
    <w:pPr>
      <w:overflowPunct/>
      <w:autoSpaceDE/>
      <w:autoSpaceDN/>
      <w:bidi w:val="0"/>
      <w:adjustRightInd/>
      <w:spacing w:before="100" w:beforeAutospacing="1" w:after="100" w:afterAutospacing="1"/>
      <w:textAlignment w:val="auto"/>
    </w:pPr>
    <w:rPr>
      <w:rFonts w:cs="Times New Roman"/>
      <w:sz w:val="24"/>
      <w:szCs w:val="24"/>
    </w:rPr>
  </w:style>
  <w:style w:type="character" w:customStyle="1" w:styleId="20">
    <w:name w:val="כותרת 2 תו"/>
    <w:basedOn w:val="a0"/>
    <w:link w:val="2"/>
    <w:uiPriority w:val="9"/>
    <w:rsid w:val="00527BB2"/>
    <w:rPr>
      <w:rFonts w:ascii="Times New Roman" w:eastAsia="Times New Roman" w:hAnsi="Times New Roman" w:cs="Times New Roman"/>
      <w:b/>
      <w:bCs/>
      <w:sz w:val="36"/>
      <w:szCs w:val="36"/>
    </w:rPr>
  </w:style>
  <w:style w:type="character" w:customStyle="1" w:styleId="30">
    <w:name w:val="כותרת 3 תו"/>
    <w:basedOn w:val="a0"/>
    <w:link w:val="3"/>
    <w:uiPriority w:val="9"/>
    <w:rsid w:val="00527BB2"/>
    <w:rPr>
      <w:rFonts w:ascii="Times New Roman" w:eastAsia="Times New Roman" w:hAnsi="Times New Roman" w:cs="Times New Roman"/>
      <w:b/>
      <w:bCs/>
      <w:sz w:val="27"/>
      <w:szCs w:val="27"/>
    </w:rPr>
  </w:style>
  <w:style w:type="character" w:customStyle="1" w:styleId="hit">
    <w:name w:val="hit"/>
    <w:basedOn w:val="a0"/>
    <w:rsid w:val="005D7CB9"/>
  </w:style>
  <w:style w:type="character" w:styleId="FollowedHyperlink">
    <w:name w:val="FollowedHyperlink"/>
    <w:basedOn w:val="a0"/>
    <w:uiPriority w:val="99"/>
    <w:semiHidden/>
    <w:unhideWhenUsed/>
    <w:rsid w:val="004559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2C9FBF-CDCE-48E2-BD53-7FFE1BE96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5854</Words>
  <Characters>33369</Characters>
  <Application>Microsoft Office Word</Application>
  <DocSecurity>0</DocSecurity>
  <Lines>278</Lines>
  <Paragraphs>78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39145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2019-02-10T14:21:00Z</dcterms:created>
  <dcterms:modified xsi:type="dcterms:W3CDTF">2019-02-10T14:21:00Z</dcterms:modified>
</cp:coreProperties>
</file>